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11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  <w:tblGridChange w:id="0">
          <w:tblGrid>
            <w:gridCol w:w="3406"/>
            <w:gridCol w:w="1397"/>
            <w:gridCol w:w="24"/>
            <w:gridCol w:w="2400"/>
            <w:gridCol w:w="190"/>
            <w:gridCol w:w="2870"/>
            <w:gridCol w:w="171"/>
            <w:gridCol w:w="3339"/>
            <w:gridCol w:w="534"/>
            <w:gridCol w:w="19"/>
            <w:gridCol w:w="1707"/>
            <w:gridCol w:w="10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descr="A yellow hexagon with a green triangle and wings&#10;&#10;Description automatically generated" id="1459055916" name="image1.png"/>
                  <a:graphic>
                    <a:graphicData uri="http://schemas.openxmlformats.org/drawingml/2006/picture">
                      <pic:pic>
                        <pic:nvPicPr>
                          <pic:cNvPr descr="A yellow hexagon with a green triangle and wings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FAKULTASILMU SOSIAL DAN ILMU BUDAYA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 STUDI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5b9bd5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left="-99" w:righ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Hukum dan Etika Penyiaran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IKO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Keahlian Prodi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Intan Tri Kusumaningtias, M.Ikom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Intan Tri Kusumaningtias, M.Ikom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Dwi Rini S, M.Comn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(CP)</w:t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Lulusan mampu menunjukkan kepribadiaan yang berakhlak dan berintegritas melalui proses  pembelajaran yang menghargai kebhinekaan Indonesia dan nilai keutamaan dibidang keahlian ilmu Ilmu Komunikasi secara mandiri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Lulusan mampu merasionalkan konsep, kaidah, proses penyusunan rencana, implementasi, monitoring dan pengembangan program komunikasi, serta pengetahuan tentang regulasi terkait bidang komunikasi 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Lulusan mampu mengkorelasikan hasil kerja mandiri dan kelompok yang bermutu, terukur dengan pemikiran logis, kritis, sistematis, serta inovatif dalam konteks pengembangan ilmu komunikas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4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Lulusan mampu merencanakan, memproduksi, dan mendistribusikan pesan komunikasi untuk mengukur keterampilannya menggunakan konsep dan teori komunikasi yang inovatif dan relevan terhadap kaidah-kaidah ilmiah bidang ilmu komunikasi.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5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Lulusan Mampu menciptakan suatu program komunikasi secara kolaboratif dan berkelanjutan. Memotret keinginan stakeholder serta mengembangkan pembelajaran komunikasi pengembangan usaha rintisan dan penyelesaian masalah komunikasi.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6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Lulusan mampu mengembangkan proses komunikasi bisnis dan kewirausahaan antar budaya.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menelataah hukum etika penyiaran,struktur regulasi, sejarah regulasi, model regulasi penyiaran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komisi penyiaran indonesia, lembar sensor film serta p3sps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dan memproduksi baik proposal penyiaran dan iklan serta tayangan pendek lainnya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menguraikan pengertian-pengertian dalam bidang penyiaran, mulai dari sejarah hukum etika, model regulasi, hingga regulasi penyiaran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dan membedakan lembaga yang berkaitan dengan larangan tayangan serta penyensoran penyiaran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proposal siaran dan memproduksi iklan dan tayangan pendek lainnya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Korelasi CPL terhadap 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komunikasi yang mempelajari mengenai sejarah hukum etika penyiaran dan membahas regulasi-regulasi terkait penyiaran.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Pengenalan dan kontrak belajar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Hukum dan etika penyiaran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Hukum dalam perspektif penyiaran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Etika dalam perspektif penyiaran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Struktur regulasi penyiaran dan kontrol terhadap 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Sejarah regulasi penyiaran pada era kemerdekaan dan era reformasi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Regulasi penyiaran dan model regulasi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UTS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Komisi penyiaran indonesia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Lembaga sensor film indonesia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Pedoman perilaku penyiaran dan standart program siaran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Fenomena 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 literasi di indonesia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 literasi remaja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Pelatihan pembuatan iklan yang benar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Armadibrata, 1966. Psikologi Perkembangan. Rajawali. Jakarta. 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Djamal,Handayani,&amp; Andi Fachrudin.2013. Dasar-Dasar Penyiaran Sejarah, Organisai, Opersional, Dan Regulasi Edisi Kedua.Jakarta: Kencana Prenamedia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GroupWarsito, 1983. Media Elektronik Dalam Kehidupan Berbangsa. Sinar - Wijaya. Surabaya.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Djunaedi, 1988. Televisi Sebagai Kebutuhan. PT. Bina Ilmu. Surabaya.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Sudibyo, Agus. 2004. Ekonomi Politik Media Penyiaran. LKIS. Yogyakarta.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Masduki . 2007. Regulasi Penyiaran : Dari Otoriter Ke Liberal. Yogyakarta : Lkis .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McDaniel, Drew O .1994. Broadcasting in the Malay World Radio,Television and video in Brunei,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Morisan. 2005. Media Penyiaran Strategi Mengelola Radio dan Televisi. Tangerang: Ramdina Prakarsa.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Mufid, Muhamad. 2007. Komunikasi dan Regulasi Penyiaran. Jakarta: Kencana Prenada Media Group.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Nurudin . 2007. Pengantar Komunikasi Massa. Jakarta : Rajagrafindo Persada.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Swardika, 2000. Psikologi Perkembangan Suatu Pendekatan. PT. Gelora Aksara Pratama. Jakarta.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Indonesia,Malaysia, and Singapore. New Jersey : Ablex Publishing Corporation. Wirywan, Hari.2007. Dasar – Dasar Hukum Media. Yogyakarta : Pustaka Pelajar.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95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Undang-Undang Penyiaran No. 32 Tahun 2002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Rahayu, Dewi. Peranan Komisi Penyiaran Indonesia (KPI) Pusat Terhadap Tayangan Infotainment di Televisi. Skripsi. Jakarta: UIN Syarif Hidayahtullah Jakarta.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Aisah, Siti. Implementasi Regulasi Penyiaran dalam Program Berita Kriminal SERGAP di RCTI.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Skripsi. Jakarta: UIN Syarif Hidayahtullah Jakarta.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M.Rochim. Mengapa Kita Perlu Regulasi Penyiaran?. Jurnal.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PP No.7 tahun 1994 tentang LSF. Sesuai dengan bunyi pasal 15 tentang tata kerja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LSF. Pasal 4, 5 dan 6 dalam PP No.7 tahun 1994. Pasal 1 tentang ketentuan umum dalam PP No.7 tahun 1994.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https://www.kpi.go.id/download/regulasi/P3SPS_2012_Final.pdf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http://buletinlamaninewscom.blogspot.com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fransgood.wordpress.com/2011/03/03/dampak-televisi-bagi-remaja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http://www.radarbanten.com/mod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https://nasional.kompas.com/read/2017/02/01/17425611/uu.penyiaran.beraroma.orde. baru?page=all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Intan Tri Kusumaningtias, M.Ikom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C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ada</w:t>
            </w:r>
          </w:p>
        </w:tc>
      </w:tr>
    </w:tbl>
    <w:p w:rsidR="00000000" w:rsidDel="00000000" w:rsidP="00000000" w:rsidRDefault="00000000" w:rsidRPr="00000000" w14:paraId="000001C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6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  <w:tblGridChange w:id="0">
          <w:tblGrid>
            <w:gridCol w:w="927"/>
            <w:gridCol w:w="4050"/>
            <w:gridCol w:w="2700"/>
            <w:gridCol w:w="2430"/>
            <w:gridCol w:w="2250"/>
            <w:gridCol w:w="1620"/>
            <w:gridCol w:w="2160"/>
            <w:gridCol w:w="1013"/>
            <w:gridCol w:w="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(Sub CPMK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etika, kode etik, dan hukum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kebijakan dan hukum media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Menelaah hukum dalam konteks komunikasi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1E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3-4</w:t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Mahasiswa mampu (Sub-CPMK 1).</w:t>
            </w:r>
          </w:p>
        </w:tc>
        <w:tc>
          <w:tcPr/>
          <w:p w:rsidR="00000000" w:rsidDel="00000000" w:rsidP="00000000" w:rsidRDefault="00000000" w:rsidRPr="00000000" w14:paraId="000001E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pengertian etika, kaitan hukum dan etika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Menelaah penyiaran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regulasi penyiaran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F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1F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5-7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(Sub-CPMK 2).</w:t>
            </w:r>
          </w:p>
        </w:tc>
        <w:tc>
          <w:tcPr/>
          <w:p w:rsidR="00000000" w:rsidDel="00000000" w:rsidP="00000000" w:rsidRDefault="00000000" w:rsidRPr="00000000" w14:paraId="000001F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sejarah regulasi, mulai era penjajahan belanda, jepang, era kemerdekaan dan reformasi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regulasi penyiaran, model regulasi sanksi regulasi, kajian teori </w:t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Menelaah kebutuhan regulasi penyiaran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lembar kerja mahasiswa,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F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20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0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9 - 10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(Sub-CPMK 2).</w:t>
            </w:r>
          </w:p>
        </w:tc>
        <w:tc>
          <w:tcPr/>
          <w:p w:rsidR="00000000" w:rsidDel="00000000" w:rsidP="00000000" w:rsidRDefault="00000000" w:rsidRPr="00000000" w14:paraId="000002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KPI (komisi penyiaran indonesia), dasar pembentukan, fungsi wewenangan, p3sps serta sanksi administratif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Menelaah sejarah sensor film indonesia, fungsi wewenang serta anggota LSF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21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(Sub-CPMK 2)</w:t>
            </w:r>
          </w:p>
        </w:tc>
        <w:tc>
          <w:tcPr/>
          <w:p w:rsidR="00000000" w:rsidDel="00000000" w:rsidP="00000000" w:rsidRDefault="00000000" w:rsidRPr="00000000" w14:paraId="000002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peraturan KPI dan p3sps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fenomena media, dampak media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praktek,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22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(Sub-CPMK 3)</w:t>
            </w:r>
          </w:p>
        </w:tc>
        <w:tc>
          <w:tcPr/>
          <w:p w:rsidR="00000000" w:rsidDel="00000000" w:rsidP="00000000" w:rsidRDefault="00000000" w:rsidRPr="00000000" w14:paraId="000002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literasi media, konsep dasar literasi media</w:t>
            </w:r>
          </w:p>
          <w:p w:rsidR="00000000" w:rsidDel="00000000" w:rsidP="00000000" w:rsidRDefault="00000000" w:rsidRPr="00000000" w14:paraId="000002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Menelaah dampak positif negatif dari TV, sifat televisi dan beberapa perangkat media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lembar kerja,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2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2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(Sub-CPMK 3) </w:t>
            </w:r>
          </w:p>
        </w:tc>
        <w:tc>
          <w:tcPr/>
          <w:p w:rsidR="00000000" w:rsidDel="00000000" w:rsidP="00000000" w:rsidRDefault="00000000" w:rsidRPr="00000000" w14:paraId="000002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</w:t>
            </w:r>
          </w:p>
          <w:p w:rsidR="00000000" w:rsidDel="00000000" w:rsidP="00000000" w:rsidRDefault="00000000" w:rsidRPr="00000000" w14:paraId="000002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Membuat produksi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3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23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4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4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100</w:t>
            </w:r>
          </w:p>
        </w:tc>
      </w:tr>
    </w:tbl>
    <w:p w:rsidR="00000000" w:rsidDel="00000000" w:rsidP="00000000" w:rsidRDefault="00000000" w:rsidRPr="00000000" w14:paraId="0000025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Rencana, Distribusi, dan Persentase Penilaian MK Hukum Etika Penyiaran</w:t>
      </w:r>
    </w:p>
    <w:tbl>
      <w:tblPr>
        <w:tblStyle w:val="Table3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755"/>
        <w:gridCol w:w="1185"/>
        <w:gridCol w:w="2370"/>
        <w:tblGridChange w:id="0">
          <w:tblGrid>
            <w:gridCol w:w="1680"/>
            <w:gridCol w:w="1080"/>
            <w:gridCol w:w="1035"/>
            <w:gridCol w:w="1215"/>
            <w:gridCol w:w="975"/>
            <w:gridCol w:w="1695"/>
            <w:gridCol w:w="1965"/>
            <w:gridCol w:w="1755"/>
            <w:gridCol w:w="1185"/>
            <w:gridCol w:w="23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Reflective Journal/laporan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Presentasi/</w:t>
            </w:r>
          </w:p>
          <w:p w:rsidR="00000000" w:rsidDel="00000000" w:rsidP="00000000" w:rsidRDefault="00000000" w:rsidRPr="00000000" w14:paraId="0000025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Unjuk Kinerja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Lembar 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Keaktifan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Sikap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Bogor, Juli 2023</w:t>
      </w:r>
    </w:p>
    <w:p w:rsidR="00000000" w:rsidDel="00000000" w:rsidP="00000000" w:rsidRDefault="00000000" w:rsidRPr="00000000" w14:paraId="000002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Intan Tri Kusumaningtias, M.Ikom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44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0832"/>
    <w:rPr>
      <w:rFonts w:ascii="Calibri" w:cs="Calibri" w:eastAsia="Calibri" w:hAnsi="Calibri"/>
      <w:kern w:val="0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qFormat w:val="1"/>
    <w:rsid w:val="00340832"/>
    <w:pPr>
      <w:ind w:left="720"/>
      <w:contextualSpacing w:val="1"/>
    </w:pPr>
    <w:rPr>
      <w:noProof w:val="1"/>
      <w:lang w:val="id-ID"/>
    </w:rPr>
  </w:style>
  <w:style w:type="character" w:styleId="ListParagraphChar" w:customStyle="1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locked w:val="1"/>
    <w:rsid w:val="00340832"/>
    <w:rPr>
      <w:rFonts w:ascii="Calibri" w:cs="Calibri" w:eastAsia="Calibri" w:hAnsi="Calibri"/>
      <w:noProof w:val="1"/>
      <w:kern w:val="0"/>
      <w:lang w:val="id-ID"/>
    </w:rPr>
  </w:style>
  <w:style w:type="character" w:styleId="Hyperlink">
    <w:name w:val="Hyperlink"/>
    <w:uiPriority w:val="99"/>
    <w:unhideWhenUsed w:val="1"/>
    <w:rsid w:val="003408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13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radarbanten.com/mod" TargetMode="External"/><Relationship Id="rId9" Type="http://schemas.openxmlformats.org/officeDocument/2006/relationships/hyperlink" Target="http://buletinlamaninewscom.blogspot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kpi.go.id/download/regulasi/P3SPS_2012_Final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N1N5XfMD4cdPtZqM48OLZ32LQ==">CgMxLjAyCGguZ2pkZ3hzOAByITF1ek1LN2hhMkQxaFNNdFgyNnViWTVWakNXQXVNX2JBTg==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2023-07-10T10:42:00Z</dcterms:created>
  <dc:creator>tata intan</dc:creator>
</cp:coreProperties>
</file>