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577" w:type="dxa"/>
        <w:tblInd w:w="-572" w:type="dxa"/>
        <w:tblLook w:val="04A0" w:firstRow="1" w:lastRow="0" w:firstColumn="1" w:lastColumn="0" w:noHBand="0" w:noVBand="1"/>
      </w:tblPr>
      <w:tblGrid>
        <w:gridCol w:w="1943"/>
        <w:gridCol w:w="1869"/>
        <w:gridCol w:w="2142"/>
        <w:gridCol w:w="2835"/>
        <w:gridCol w:w="3118"/>
        <w:gridCol w:w="899"/>
        <w:gridCol w:w="2078"/>
        <w:gridCol w:w="123"/>
        <w:gridCol w:w="2570"/>
      </w:tblGrid>
      <w:tr w:rsidR="00D80385" w:rsidRPr="0011340A" w14:paraId="6D3F07D0" w14:textId="77777777" w:rsidTr="004D0966">
        <w:tc>
          <w:tcPr>
            <w:tcW w:w="1943" w:type="dxa"/>
            <w:vMerge w:val="restart"/>
            <w:shd w:val="clear" w:color="auto" w:fill="5B9BD5" w:themeFill="accent1"/>
            <w:vAlign w:val="center"/>
          </w:tcPr>
          <w:p w14:paraId="2B117F9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2CD414C8" wp14:editId="5F2E16DE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4" w:type="dxa"/>
            <w:gridSpan w:val="8"/>
            <w:shd w:val="clear" w:color="auto" w:fill="5B9BD5" w:themeFill="accent1"/>
          </w:tcPr>
          <w:p w14:paraId="5957A83A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11340A">
              <w:rPr>
                <w:rFonts w:ascii="Arial" w:hAnsi="Arial" w:cs="Arial"/>
                <w:b/>
                <w:sz w:val="32"/>
              </w:rPr>
              <w:t>UNIVERSITAS PAKUAN</w:t>
            </w:r>
          </w:p>
          <w:p w14:paraId="12DDAF03" w14:textId="698AF8CF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1340A">
              <w:rPr>
                <w:rFonts w:ascii="Arial" w:hAnsi="Arial" w:cs="Arial"/>
                <w:b/>
                <w:sz w:val="28"/>
              </w:rPr>
              <w:t xml:space="preserve">FAKULTAS </w:t>
            </w:r>
            <w:r w:rsidR="00BE7302">
              <w:rPr>
                <w:rFonts w:ascii="Arial" w:hAnsi="Arial" w:cs="Arial"/>
                <w:b/>
                <w:sz w:val="28"/>
              </w:rPr>
              <w:t>ILMU SOSIAL DAN ILMU BUDAYA</w:t>
            </w:r>
          </w:p>
          <w:p w14:paraId="5D8FB5D1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1340A">
              <w:rPr>
                <w:rFonts w:ascii="Arial" w:hAnsi="Arial" w:cs="Arial"/>
                <w:b/>
                <w:sz w:val="28"/>
              </w:rPr>
              <w:t xml:space="preserve">PROGRAM STUDI : </w:t>
            </w:r>
            <w:r w:rsidR="004D0966">
              <w:rPr>
                <w:rFonts w:ascii="Arial" w:hAnsi="Arial" w:cs="Arial"/>
                <w:b/>
                <w:sz w:val="28"/>
              </w:rPr>
              <w:t xml:space="preserve">Pendidikan </w:t>
            </w:r>
            <w:proofErr w:type="spellStart"/>
            <w:r w:rsidR="004D0966">
              <w:rPr>
                <w:rFonts w:ascii="Arial" w:hAnsi="Arial" w:cs="Arial"/>
                <w:b/>
                <w:sz w:val="28"/>
              </w:rPr>
              <w:t>Biologi</w:t>
            </w:r>
            <w:proofErr w:type="spellEnd"/>
          </w:p>
        </w:tc>
      </w:tr>
      <w:tr w:rsidR="00D80385" w:rsidRPr="0011340A" w14:paraId="1D8CF480" w14:textId="77777777" w:rsidTr="004D0966">
        <w:tc>
          <w:tcPr>
            <w:tcW w:w="1943" w:type="dxa"/>
            <w:vMerge/>
            <w:shd w:val="clear" w:color="auto" w:fill="5B9BD5" w:themeFill="accent1"/>
          </w:tcPr>
          <w:p w14:paraId="261B9E3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634" w:type="dxa"/>
            <w:gridSpan w:val="8"/>
            <w:shd w:val="clear" w:color="auto" w:fill="5B9BD5" w:themeFill="accent1"/>
          </w:tcPr>
          <w:p w14:paraId="0C90795F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340A">
              <w:rPr>
                <w:rFonts w:ascii="Arial" w:hAnsi="Arial" w:cs="Arial"/>
                <w:b/>
              </w:rPr>
              <w:t>RENCANA PEMBELAJARAN SEMESTER (RPS)</w:t>
            </w:r>
          </w:p>
        </w:tc>
      </w:tr>
      <w:tr w:rsidR="00D80385" w:rsidRPr="00432173" w14:paraId="34C6D8AD" w14:textId="77777777" w:rsidTr="000137EB">
        <w:tc>
          <w:tcPr>
            <w:tcW w:w="1943" w:type="dxa"/>
          </w:tcPr>
          <w:p w14:paraId="438C94D0" w14:textId="77777777" w:rsidR="00D80385" w:rsidRPr="000801C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0335BFE4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977" w:type="dxa"/>
            <w:gridSpan w:val="2"/>
          </w:tcPr>
          <w:p w14:paraId="400F3684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4017" w:type="dxa"/>
            <w:gridSpan w:val="2"/>
          </w:tcPr>
          <w:p w14:paraId="22AB31A3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201" w:type="dxa"/>
            <w:gridSpan w:val="2"/>
          </w:tcPr>
          <w:p w14:paraId="1C9BEFDE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570" w:type="dxa"/>
          </w:tcPr>
          <w:p w14:paraId="254DCD39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2FA3A5E4" w14:textId="77777777" w:rsidTr="000137EB">
        <w:trPr>
          <w:trHeight w:val="539"/>
        </w:trPr>
        <w:tc>
          <w:tcPr>
            <w:tcW w:w="1943" w:type="dxa"/>
          </w:tcPr>
          <w:p w14:paraId="4B733DF0" w14:textId="23565048" w:rsidR="00623C0C" w:rsidRPr="000801C3" w:rsidRDefault="000949EC" w:rsidP="004D09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Industri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Elektronik</w:t>
            </w:r>
            <w:proofErr w:type="spellEnd"/>
          </w:p>
        </w:tc>
        <w:tc>
          <w:tcPr>
            <w:tcW w:w="1869" w:type="dxa"/>
          </w:tcPr>
          <w:p w14:paraId="1F1BF8E8" w14:textId="45BB25B5" w:rsidR="00623C0C" w:rsidRPr="000801C3" w:rsidRDefault="000949EC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pacing w:val="-2"/>
              </w:rPr>
              <w:t>IKO6303</w:t>
            </w:r>
          </w:p>
        </w:tc>
        <w:tc>
          <w:tcPr>
            <w:tcW w:w="4977" w:type="dxa"/>
            <w:gridSpan w:val="2"/>
          </w:tcPr>
          <w:p w14:paraId="6DB8C0C5" w14:textId="688FC4A0" w:rsidR="00BE7302" w:rsidRPr="000801C3" w:rsidRDefault="000949EC" w:rsidP="00BE7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/>
                <w:sz w:val="18"/>
              </w:rPr>
              <w:t>Mata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Kuliah</w:t>
            </w:r>
            <w:proofErr w:type="spellEnd"/>
            <w:r>
              <w:rPr>
                <w:rFonts w:ascii="Calibri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Pengetahuan</w:t>
            </w:r>
            <w:proofErr w:type="spellEnd"/>
            <w:r>
              <w:rPr>
                <w:rFonts w:ascii="Calibri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keahlian</w:t>
            </w:r>
            <w:proofErr w:type="spellEnd"/>
            <w:r>
              <w:rPr>
                <w:rFonts w:ascii="Calibri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prodi</w:t>
            </w:r>
            <w:proofErr w:type="spellEnd"/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(PKPS)</w:t>
            </w:r>
          </w:p>
          <w:p w14:paraId="0F289228" w14:textId="770AA069" w:rsidR="00623C0C" w:rsidRPr="000801C3" w:rsidRDefault="00623C0C" w:rsidP="00BE73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gridSpan w:val="2"/>
          </w:tcPr>
          <w:p w14:paraId="227BD303" w14:textId="0DA3D4F9" w:rsidR="00623C0C" w:rsidRPr="000801C3" w:rsidRDefault="000801C3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2</w:t>
            </w:r>
            <w:r w:rsidR="004D0966" w:rsidRPr="000801C3">
              <w:rPr>
                <w:rFonts w:ascii="Arial" w:hAnsi="Arial" w:cs="Arial"/>
                <w:sz w:val="20"/>
                <w:szCs w:val="20"/>
              </w:rPr>
              <w:t xml:space="preserve"> SKS</w:t>
            </w:r>
          </w:p>
        </w:tc>
        <w:tc>
          <w:tcPr>
            <w:tcW w:w="2201" w:type="dxa"/>
            <w:gridSpan w:val="2"/>
          </w:tcPr>
          <w:p w14:paraId="035AE2B3" w14:textId="55612372" w:rsidR="00623C0C" w:rsidRPr="000801C3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I</w:t>
            </w:r>
            <w:r w:rsidR="000949E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570" w:type="dxa"/>
          </w:tcPr>
          <w:p w14:paraId="50B7A0E1" w14:textId="632CAB51" w:rsidR="00623C0C" w:rsidRPr="000801C3" w:rsidRDefault="00623C0C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569745B0" w14:textId="77777777" w:rsidTr="004D0966">
        <w:tc>
          <w:tcPr>
            <w:tcW w:w="1943" w:type="dxa"/>
          </w:tcPr>
          <w:p w14:paraId="341FE09D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2"/>
          </w:tcPr>
          <w:p w14:paraId="45F8B722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852" w:type="dxa"/>
            <w:gridSpan w:val="3"/>
          </w:tcPr>
          <w:p w14:paraId="719673DB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4771" w:type="dxa"/>
            <w:gridSpan w:val="3"/>
          </w:tcPr>
          <w:p w14:paraId="33E796F7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22306C67" w14:textId="77777777" w:rsidTr="004D0966">
        <w:tc>
          <w:tcPr>
            <w:tcW w:w="1943" w:type="dxa"/>
          </w:tcPr>
          <w:p w14:paraId="0459677A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3746E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2"/>
          </w:tcPr>
          <w:p w14:paraId="54F69A3E" w14:textId="449ADB6A" w:rsidR="00D80385" w:rsidRPr="000801C3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Ahsani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Taqwim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Aminuddin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M.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I.Kom</w:t>
            </w:r>
            <w:proofErr w:type="spellEnd"/>
          </w:p>
        </w:tc>
        <w:tc>
          <w:tcPr>
            <w:tcW w:w="6852" w:type="dxa"/>
            <w:gridSpan w:val="3"/>
          </w:tcPr>
          <w:p w14:paraId="13882726" w14:textId="03E03DA4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3"/>
          </w:tcPr>
          <w:p w14:paraId="6952A27C" w14:textId="3044D4BC" w:rsidR="00D80385" w:rsidRPr="000801C3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Dr.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Dwi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Rini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S. Firdaus.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M.Comn</w:t>
            </w:r>
            <w:proofErr w:type="spellEnd"/>
          </w:p>
        </w:tc>
      </w:tr>
      <w:tr w:rsidR="00D80385" w:rsidRPr="0011340A" w14:paraId="0C758026" w14:textId="77777777" w:rsidTr="004D0966">
        <w:tc>
          <w:tcPr>
            <w:tcW w:w="1943" w:type="dxa"/>
            <w:vMerge w:val="restart"/>
            <w:vAlign w:val="center"/>
          </w:tcPr>
          <w:p w14:paraId="36BB80D6" w14:textId="77777777" w:rsidR="00D80385" w:rsidRPr="000801C3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524A6E47" w14:textId="77777777" w:rsidR="00D80385" w:rsidRPr="000801C3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0949EC" w:rsidRPr="0011340A" w14:paraId="1365158C" w14:textId="77777777" w:rsidTr="001D2677">
        <w:tc>
          <w:tcPr>
            <w:tcW w:w="1943" w:type="dxa"/>
            <w:vMerge/>
            <w:vAlign w:val="center"/>
          </w:tcPr>
          <w:p w14:paraId="1BD49F5C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6F24CDC" w14:textId="3684AA52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3765" w:type="dxa"/>
            <w:gridSpan w:val="7"/>
          </w:tcPr>
          <w:p w14:paraId="587B75DA" w14:textId="0AA22FAE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penggunaan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media</w:t>
            </w:r>
          </w:p>
        </w:tc>
      </w:tr>
      <w:tr w:rsidR="000949EC" w:rsidRPr="0011340A" w14:paraId="3F631701" w14:textId="77777777" w:rsidTr="004D0966">
        <w:tc>
          <w:tcPr>
            <w:tcW w:w="1943" w:type="dxa"/>
            <w:vMerge/>
            <w:vAlign w:val="center"/>
          </w:tcPr>
          <w:p w14:paraId="48376EB0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9E3D91" w14:textId="61771D6D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CPL 4</w:t>
            </w:r>
          </w:p>
        </w:tc>
        <w:tc>
          <w:tcPr>
            <w:tcW w:w="13765" w:type="dxa"/>
            <w:gridSpan w:val="7"/>
          </w:tcPr>
          <w:p w14:paraId="7EAC9F2A" w14:textId="65B43A6F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berpikir</w:t>
            </w:r>
            <w:proofErr w:type="spellEnd"/>
            <w:r w:rsidRPr="000801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kreatif</w:t>
            </w:r>
            <w:proofErr w:type="spellEnd"/>
            <w:r w:rsidRPr="000801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>dan</w:t>
            </w:r>
            <w:r w:rsidRPr="000801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analitis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mengembangkan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kontemporer</w:t>
            </w:r>
            <w:proofErr w:type="spellEnd"/>
          </w:p>
        </w:tc>
      </w:tr>
      <w:tr w:rsidR="000949EC" w:rsidRPr="0011340A" w14:paraId="14EA0081" w14:textId="77777777" w:rsidTr="004D0966">
        <w:tc>
          <w:tcPr>
            <w:tcW w:w="1943" w:type="dxa"/>
            <w:vMerge/>
            <w:vAlign w:val="center"/>
          </w:tcPr>
          <w:p w14:paraId="27F85E2C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E418E4E" w14:textId="7C9D8450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 w:rsidR="00F160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765" w:type="dxa"/>
            <w:gridSpan w:val="7"/>
          </w:tcPr>
          <w:p w14:paraId="33FD3BC0" w14:textId="65E72F6A" w:rsidR="000949EC" w:rsidRPr="000801C3" w:rsidRDefault="00F16020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6020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F16020">
              <w:rPr>
                <w:rFonts w:ascii="Arial" w:hAnsi="Arial" w:cs="Arial"/>
                <w:sz w:val="20"/>
                <w:szCs w:val="20"/>
              </w:rPr>
              <w:t>menciptakan</w:t>
            </w:r>
            <w:proofErr w:type="spellEnd"/>
            <w:r w:rsidRP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6020">
              <w:rPr>
                <w:rFonts w:ascii="Arial" w:hAnsi="Arial" w:cs="Arial"/>
                <w:sz w:val="20"/>
                <w:szCs w:val="20"/>
              </w:rPr>
              <w:t>dampak</w:t>
            </w:r>
            <w:proofErr w:type="spellEnd"/>
            <w:r w:rsidRP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6020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6020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6020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6020"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</w:p>
        </w:tc>
      </w:tr>
      <w:tr w:rsidR="000949EC" w:rsidRPr="0011340A" w14:paraId="5A7E4F84" w14:textId="77777777" w:rsidTr="004D0966">
        <w:tc>
          <w:tcPr>
            <w:tcW w:w="1943" w:type="dxa"/>
            <w:vMerge/>
            <w:vAlign w:val="center"/>
          </w:tcPr>
          <w:p w14:paraId="337B930E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C5556E" w14:textId="748A1092" w:rsidR="000949EC" w:rsidRPr="000801C3" w:rsidRDefault="00F16020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6</w:t>
            </w:r>
          </w:p>
        </w:tc>
        <w:tc>
          <w:tcPr>
            <w:tcW w:w="13765" w:type="dxa"/>
            <w:gridSpan w:val="7"/>
          </w:tcPr>
          <w:p w14:paraId="7B6B3287" w14:textId="7112DAA9" w:rsidR="000949EC" w:rsidRPr="000801C3" w:rsidRDefault="00F16020" w:rsidP="00094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49EC"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0949EC">
              <w:rPr>
                <w:rFonts w:ascii="Arial" w:hAnsi="Arial" w:cs="Arial"/>
                <w:sz w:val="20"/>
                <w:szCs w:val="20"/>
              </w:rPr>
              <w:t>memetakan</w:t>
            </w:r>
            <w:proofErr w:type="spellEnd"/>
            <w:r w:rsidRPr="000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49EC">
              <w:rPr>
                <w:rFonts w:ascii="Arial" w:hAnsi="Arial" w:cs="Arial"/>
                <w:sz w:val="20"/>
                <w:szCs w:val="20"/>
              </w:rPr>
              <w:t>keinginan</w:t>
            </w:r>
            <w:proofErr w:type="spellEnd"/>
            <w:r w:rsidRPr="000949EC">
              <w:rPr>
                <w:rFonts w:ascii="Arial" w:hAnsi="Arial" w:cs="Arial"/>
                <w:sz w:val="20"/>
                <w:szCs w:val="20"/>
              </w:rPr>
              <w:t xml:space="preserve"> stakeholder </w:t>
            </w:r>
            <w:proofErr w:type="spellStart"/>
            <w:r w:rsidRPr="000949EC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0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49EC">
              <w:rPr>
                <w:rFonts w:ascii="Arial" w:hAnsi="Arial" w:cs="Arial"/>
                <w:sz w:val="20"/>
                <w:szCs w:val="20"/>
              </w:rPr>
              <w:t>pemangku</w:t>
            </w:r>
            <w:proofErr w:type="spellEnd"/>
            <w:r w:rsidRPr="000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49EC">
              <w:rPr>
                <w:rFonts w:ascii="Arial" w:hAnsi="Arial" w:cs="Arial"/>
                <w:sz w:val="20"/>
                <w:szCs w:val="20"/>
              </w:rPr>
              <w:t>kepentingan</w:t>
            </w:r>
            <w:proofErr w:type="spellEnd"/>
          </w:p>
        </w:tc>
      </w:tr>
      <w:tr w:rsidR="000949EC" w:rsidRPr="0011340A" w14:paraId="4DEC9CCF" w14:textId="77777777" w:rsidTr="004D0966">
        <w:tc>
          <w:tcPr>
            <w:tcW w:w="1943" w:type="dxa"/>
            <w:vMerge/>
            <w:vAlign w:val="center"/>
          </w:tcPr>
          <w:p w14:paraId="495500FB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5D137140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0949EC" w:rsidRPr="0011340A" w14:paraId="791B6DC3" w14:textId="77777777" w:rsidTr="004D0966">
        <w:tc>
          <w:tcPr>
            <w:tcW w:w="1943" w:type="dxa"/>
            <w:vMerge/>
            <w:vAlign w:val="center"/>
          </w:tcPr>
          <w:p w14:paraId="09489502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891F1B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65" w:type="dxa"/>
            <w:gridSpan w:val="7"/>
          </w:tcPr>
          <w:p w14:paraId="677B1D2E" w14:textId="63596C3D" w:rsidR="000949EC" w:rsidRPr="000801C3" w:rsidRDefault="000949EC" w:rsidP="00094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memahami</w:t>
            </w:r>
            <w:proofErr w:type="spellEnd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dasar</w:t>
            </w:r>
            <w:proofErr w:type="spellEnd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color w:val="000000"/>
                <w:sz w:val="20"/>
                <w:szCs w:val="20"/>
              </w:rPr>
              <w:t>industri</w:t>
            </w:r>
            <w:proofErr w:type="spellEnd"/>
            <w:r w:rsidR="00F160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media</w:t>
            </w:r>
            <w:r w:rsidR="00F1602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F16020">
              <w:rPr>
                <w:rFonts w:ascii="Arial" w:hAnsi="Arial" w:cs="Arial"/>
                <w:color w:val="000000"/>
                <w:sz w:val="20"/>
                <w:szCs w:val="20"/>
              </w:rPr>
              <w:t>elektronik</w:t>
            </w:r>
            <w:proofErr w:type="spellEnd"/>
            <w:r w:rsidR="00F160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 xml:space="preserve"> kajian </w:t>
            </w:r>
            <w:proofErr w:type="spellStart"/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komunikasi</w:t>
            </w:r>
            <w:proofErr w:type="spellEnd"/>
          </w:p>
        </w:tc>
      </w:tr>
      <w:tr w:rsidR="000949EC" w:rsidRPr="0011340A" w14:paraId="1DF08200" w14:textId="77777777" w:rsidTr="004D0966">
        <w:tc>
          <w:tcPr>
            <w:tcW w:w="1943" w:type="dxa"/>
            <w:vMerge/>
            <w:vAlign w:val="center"/>
          </w:tcPr>
          <w:p w14:paraId="2C4EBBF1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38CC7D1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65" w:type="dxa"/>
            <w:gridSpan w:val="7"/>
          </w:tcPr>
          <w:p w14:paraId="2ADA90C4" w14:textId="73AC76A8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</w:t>
            </w:r>
            <w:r w:rsidR="00F16020">
              <w:rPr>
                <w:rFonts w:ascii="Arial" w:hAnsi="Arial" w:cs="Arial"/>
                <w:sz w:val="20"/>
                <w:szCs w:val="20"/>
              </w:rPr>
              <w:t>nganalisis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pola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produksi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managemen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hingga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kompetisi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kajian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kontemporer</w:t>
            </w:r>
            <w:proofErr w:type="spellEnd"/>
          </w:p>
        </w:tc>
      </w:tr>
      <w:tr w:rsidR="000949EC" w:rsidRPr="0011340A" w14:paraId="18A888FF" w14:textId="77777777" w:rsidTr="004D0966">
        <w:tc>
          <w:tcPr>
            <w:tcW w:w="1943" w:type="dxa"/>
            <w:vMerge/>
            <w:vAlign w:val="center"/>
          </w:tcPr>
          <w:p w14:paraId="2EB808D3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53763C9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65" w:type="dxa"/>
            <w:gridSpan w:val="7"/>
          </w:tcPr>
          <w:p w14:paraId="18FC0DC2" w14:textId="53543801" w:rsidR="000949EC" w:rsidRPr="000801C3" w:rsidRDefault="000949EC" w:rsidP="00094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berfikir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kreatif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analitis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r w:rsidR="00F1602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elektronik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hingga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digital) sebagai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diterima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oleh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masyarakt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luas</w:t>
            </w:r>
            <w:proofErr w:type="spellEnd"/>
          </w:p>
        </w:tc>
      </w:tr>
      <w:tr w:rsidR="000949EC" w:rsidRPr="0011340A" w14:paraId="3DA8DB59" w14:textId="77777777" w:rsidTr="004D0966">
        <w:tc>
          <w:tcPr>
            <w:tcW w:w="1943" w:type="dxa"/>
            <w:vMerge/>
            <w:vAlign w:val="center"/>
          </w:tcPr>
          <w:p w14:paraId="149C56FC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CC1CBCD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3765" w:type="dxa"/>
            <w:gridSpan w:val="7"/>
          </w:tcPr>
          <w:p w14:paraId="41B45189" w14:textId="27D44202" w:rsidR="000949EC" w:rsidRPr="000801C3" w:rsidRDefault="000949EC" w:rsidP="00094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r w:rsidR="00F1602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elektronik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hingga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digital) sebagai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produsen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F160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949EC" w:rsidRPr="0011340A" w14:paraId="68BE708A" w14:textId="77777777" w:rsidTr="008B6DB7">
        <w:tc>
          <w:tcPr>
            <w:tcW w:w="1943" w:type="dxa"/>
            <w:vMerge/>
            <w:vAlign w:val="center"/>
          </w:tcPr>
          <w:p w14:paraId="2E03C4D2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300C73AD" w14:textId="2FC3B628" w:rsidR="000949EC" w:rsidRPr="000801C3" w:rsidRDefault="000949EC" w:rsidP="000949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Kemampuan</w:t>
            </w:r>
            <w:proofErr w:type="spellEnd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Akhir </w:t>
            </w:r>
            <w:proofErr w:type="spellStart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tiap</w:t>
            </w:r>
            <w:proofErr w:type="spellEnd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Tahapan</w:t>
            </w:r>
            <w:proofErr w:type="spellEnd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Belajar</w:t>
            </w:r>
            <w:proofErr w:type="spellEnd"/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(Sub-CPMK)</w:t>
            </w:r>
          </w:p>
        </w:tc>
      </w:tr>
      <w:tr w:rsidR="000949EC" w:rsidRPr="0011340A" w14:paraId="387959C2" w14:textId="77777777" w:rsidTr="004D0966">
        <w:tc>
          <w:tcPr>
            <w:tcW w:w="1943" w:type="dxa"/>
            <w:vMerge/>
            <w:vAlign w:val="center"/>
          </w:tcPr>
          <w:p w14:paraId="4A8088D8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0EB656" w14:textId="124EDFD4" w:rsidR="000949EC" w:rsidRPr="00683E58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E58"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65" w:type="dxa"/>
            <w:gridSpan w:val="7"/>
          </w:tcPr>
          <w:p w14:paraId="0F75E25A" w14:textId="3C755369" w:rsidR="003F0942" w:rsidRPr="00683E58" w:rsidRDefault="000949EC" w:rsidP="003F09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 kajian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Media</w:t>
            </w:r>
          </w:p>
        </w:tc>
      </w:tr>
      <w:tr w:rsidR="000949EC" w:rsidRPr="0011340A" w14:paraId="04187BA9" w14:textId="77777777" w:rsidTr="004D0966">
        <w:tc>
          <w:tcPr>
            <w:tcW w:w="1943" w:type="dxa"/>
            <w:vMerge/>
            <w:vAlign w:val="center"/>
          </w:tcPr>
          <w:p w14:paraId="3A7FE602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A7B1DE" w14:textId="0AD3CE64" w:rsidR="000949EC" w:rsidRPr="00683E58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E58"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65" w:type="dxa"/>
            <w:gridSpan w:val="7"/>
          </w:tcPr>
          <w:p w14:paraId="575F7501" w14:textId="5AB00C46" w:rsidR="003F0942" w:rsidRPr="00683E58" w:rsidRDefault="000949EC" w:rsidP="000949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Proses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produksi</w:t>
            </w:r>
            <w:proofErr w:type="spellEnd"/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elektronik</w:t>
            </w:r>
            <w:proofErr w:type="spellEnd"/>
          </w:p>
        </w:tc>
      </w:tr>
      <w:tr w:rsidR="000949EC" w:rsidRPr="0011340A" w14:paraId="7B49D65C" w14:textId="77777777" w:rsidTr="004D0966">
        <w:tc>
          <w:tcPr>
            <w:tcW w:w="1943" w:type="dxa"/>
            <w:vMerge/>
            <w:vAlign w:val="center"/>
          </w:tcPr>
          <w:p w14:paraId="0A5374D9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B66B12" w14:textId="2E55ECDD" w:rsidR="000949EC" w:rsidRPr="00683E58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E58"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65" w:type="dxa"/>
            <w:gridSpan w:val="7"/>
          </w:tcPr>
          <w:p w14:paraId="77365AE4" w14:textId="60BADE89" w:rsidR="003F0942" w:rsidRPr="00683E58" w:rsidRDefault="000949EC" w:rsidP="00683E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m</w:t>
            </w:r>
            <w:r w:rsidRPr="00683E58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elektronik</w:t>
            </w:r>
            <w:proofErr w:type="spellEnd"/>
          </w:p>
        </w:tc>
      </w:tr>
      <w:tr w:rsidR="000949EC" w:rsidRPr="0011340A" w14:paraId="5AC6F090" w14:textId="77777777" w:rsidTr="004D0966">
        <w:tc>
          <w:tcPr>
            <w:tcW w:w="1943" w:type="dxa"/>
            <w:vMerge/>
            <w:vAlign w:val="center"/>
          </w:tcPr>
          <w:p w14:paraId="3789D6C2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00A991" w14:textId="7D237A6A" w:rsidR="000949EC" w:rsidRPr="00683E58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E58"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3765" w:type="dxa"/>
            <w:gridSpan w:val="7"/>
          </w:tcPr>
          <w:p w14:paraId="3A75F864" w14:textId="3A710CE6" w:rsidR="003F0942" w:rsidRPr="00683E58" w:rsidRDefault="000949EC" w:rsidP="003F09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Ekonomi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Kompetisi</w:t>
            </w:r>
            <w:proofErr w:type="spellEnd"/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Elektronik</w:t>
            </w:r>
            <w:proofErr w:type="spellEnd"/>
          </w:p>
        </w:tc>
      </w:tr>
      <w:tr w:rsidR="000949EC" w:rsidRPr="0011340A" w14:paraId="0A3C5938" w14:textId="77777777" w:rsidTr="004D0966">
        <w:tc>
          <w:tcPr>
            <w:tcW w:w="1943" w:type="dxa"/>
            <w:vMerge/>
            <w:vAlign w:val="center"/>
          </w:tcPr>
          <w:p w14:paraId="7D8AF89C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7063D1" w14:textId="3804C5EF" w:rsidR="000949EC" w:rsidRPr="00683E58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E58"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3765" w:type="dxa"/>
            <w:gridSpan w:val="7"/>
          </w:tcPr>
          <w:p w14:paraId="0DB23F8A" w14:textId="2F058D25" w:rsidR="003F0942" w:rsidRPr="00683E58" w:rsidRDefault="000949EC" w:rsidP="000949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m</w:t>
            </w:r>
            <w:r w:rsidR="00683E58" w:rsidRPr="00683E58">
              <w:rPr>
                <w:rFonts w:ascii="Arial" w:hAnsi="Arial" w:cs="Arial"/>
                <w:sz w:val="20"/>
                <w:szCs w:val="20"/>
              </w:rPr>
              <w:t>engevaluasi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Konvergensi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</w:p>
        </w:tc>
      </w:tr>
      <w:tr w:rsidR="000949EC" w:rsidRPr="0011340A" w14:paraId="35E4B40F" w14:textId="77777777" w:rsidTr="004D0966">
        <w:tc>
          <w:tcPr>
            <w:tcW w:w="1943" w:type="dxa"/>
            <w:vMerge/>
            <w:vAlign w:val="center"/>
          </w:tcPr>
          <w:p w14:paraId="5B6A7088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6BE8B3" w14:textId="304B656C" w:rsidR="000949EC" w:rsidRPr="00683E58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E58"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3765" w:type="dxa"/>
            <w:gridSpan w:val="7"/>
          </w:tcPr>
          <w:p w14:paraId="4FCAE5F4" w14:textId="1C5CB6AC" w:rsidR="003F0942" w:rsidRPr="00683E58" w:rsidRDefault="000949EC" w:rsidP="000949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020">
              <w:rPr>
                <w:rFonts w:ascii="Arial" w:hAnsi="Arial" w:cs="Arial"/>
                <w:sz w:val="20"/>
                <w:szCs w:val="20"/>
              </w:rPr>
              <w:t>K</w:t>
            </w:r>
            <w:r w:rsidR="003F0942" w:rsidRPr="00683E58">
              <w:rPr>
                <w:rFonts w:ascii="Arial" w:hAnsi="Arial" w:cs="Arial"/>
                <w:sz w:val="20"/>
                <w:szCs w:val="20"/>
              </w:rPr>
              <w:t>onglomerasi</w:t>
            </w:r>
            <w:proofErr w:type="spellEnd"/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020">
              <w:rPr>
                <w:rFonts w:ascii="Arial" w:hAnsi="Arial" w:cs="Arial"/>
                <w:sz w:val="20"/>
                <w:szCs w:val="20"/>
              </w:rPr>
              <w:t>M</w:t>
            </w:r>
            <w:r w:rsidR="003F0942" w:rsidRPr="00683E58">
              <w:rPr>
                <w:rFonts w:ascii="Arial" w:hAnsi="Arial" w:cs="Arial"/>
                <w:sz w:val="20"/>
                <w:szCs w:val="20"/>
              </w:rPr>
              <w:t>edia</w:t>
            </w:r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F0942" w:rsidRPr="00683E58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="003F0942" w:rsidRPr="00683E58">
              <w:rPr>
                <w:rFonts w:ascii="Arial" w:hAnsi="Arial" w:cs="Arial"/>
                <w:sz w:val="20"/>
                <w:szCs w:val="20"/>
              </w:rPr>
              <w:t xml:space="preserve"> Media</w:t>
            </w:r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942" w:rsidRPr="00683E58">
              <w:rPr>
                <w:rFonts w:ascii="Arial" w:hAnsi="Arial" w:cs="Arial"/>
                <w:sz w:val="20"/>
                <w:szCs w:val="20"/>
              </w:rPr>
              <w:t>di Indonesia</w:t>
            </w:r>
          </w:p>
        </w:tc>
      </w:tr>
      <w:tr w:rsidR="000949EC" w:rsidRPr="0011340A" w14:paraId="6E417245" w14:textId="77777777" w:rsidTr="004D0966">
        <w:tc>
          <w:tcPr>
            <w:tcW w:w="1943" w:type="dxa"/>
            <w:vMerge/>
            <w:vAlign w:val="center"/>
          </w:tcPr>
          <w:p w14:paraId="4D79AC25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FCDF330" w14:textId="346494B0" w:rsidR="000949EC" w:rsidRPr="00683E58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E58"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3765" w:type="dxa"/>
            <w:gridSpan w:val="7"/>
          </w:tcPr>
          <w:p w14:paraId="2AF759EC" w14:textId="7CF048AB" w:rsidR="000949EC" w:rsidRPr="00683E58" w:rsidRDefault="000949EC" w:rsidP="000949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me</w:t>
            </w:r>
            <w:r w:rsidR="00683E58" w:rsidRPr="00683E58">
              <w:rPr>
                <w:rFonts w:ascii="Arial" w:hAnsi="Arial" w:cs="Arial"/>
                <w:sz w:val="20"/>
                <w:szCs w:val="20"/>
              </w:rPr>
              <w:t>nganalisis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83E58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Dinamika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3E58" w:rsidRPr="00683E58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="00683E58" w:rsidRPr="00683E58">
              <w:rPr>
                <w:rFonts w:ascii="Arial" w:hAnsi="Arial" w:cs="Arial"/>
                <w:sz w:val="20"/>
                <w:szCs w:val="20"/>
              </w:rPr>
              <w:t xml:space="preserve"> Media di Indonesia</w:t>
            </w:r>
          </w:p>
        </w:tc>
      </w:tr>
      <w:tr w:rsidR="000949EC" w:rsidRPr="0011340A" w14:paraId="1BD764DC" w14:textId="77777777" w:rsidTr="004D0966">
        <w:tc>
          <w:tcPr>
            <w:tcW w:w="1943" w:type="dxa"/>
            <w:vMerge/>
            <w:vAlign w:val="center"/>
          </w:tcPr>
          <w:p w14:paraId="0428C41F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2AF88A1E" w14:textId="2970C29D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0949EC" w:rsidRPr="0011340A" w14:paraId="43522774" w14:textId="77777777" w:rsidTr="000137EB">
        <w:tc>
          <w:tcPr>
            <w:tcW w:w="1943" w:type="dxa"/>
            <w:vMerge w:val="restart"/>
            <w:vAlign w:val="center"/>
          </w:tcPr>
          <w:p w14:paraId="31451C19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353AC32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C01CE15" w14:textId="71120265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CPMK1</w:t>
            </w:r>
          </w:p>
        </w:tc>
        <w:tc>
          <w:tcPr>
            <w:tcW w:w="2835" w:type="dxa"/>
          </w:tcPr>
          <w:p w14:paraId="6C4BE640" w14:textId="6AF230C3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CPMK2</w:t>
            </w:r>
          </w:p>
        </w:tc>
        <w:tc>
          <w:tcPr>
            <w:tcW w:w="3118" w:type="dxa"/>
          </w:tcPr>
          <w:p w14:paraId="36CD115F" w14:textId="037FDA15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CPMK3</w:t>
            </w:r>
          </w:p>
        </w:tc>
        <w:tc>
          <w:tcPr>
            <w:tcW w:w="2977" w:type="dxa"/>
            <w:gridSpan w:val="2"/>
          </w:tcPr>
          <w:p w14:paraId="7420478B" w14:textId="1F60CCC5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CPMK4</w:t>
            </w:r>
          </w:p>
        </w:tc>
        <w:tc>
          <w:tcPr>
            <w:tcW w:w="2693" w:type="dxa"/>
            <w:gridSpan w:val="2"/>
          </w:tcPr>
          <w:p w14:paraId="76700A90" w14:textId="16540B48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CPMK5</w:t>
            </w:r>
          </w:p>
        </w:tc>
      </w:tr>
      <w:tr w:rsidR="000949EC" w:rsidRPr="0011340A" w14:paraId="08C5A31D" w14:textId="77777777" w:rsidTr="000137EB">
        <w:tc>
          <w:tcPr>
            <w:tcW w:w="1943" w:type="dxa"/>
            <w:vMerge/>
            <w:vAlign w:val="center"/>
          </w:tcPr>
          <w:p w14:paraId="41C071C5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ED96A3C" w14:textId="470340DC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2142" w:type="dxa"/>
          </w:tcPr>
          <w:p w14:paraId="45CD4734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6F3173B3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118" w:type="dxa"/>
          </w:tcPr>
          <w:p w14:paraId="573083C0" w14:textId="77F0D08F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977" w:type="dxa"/>
            <w:gridSpan w:val="2"/>
          </w:tcPr>
          <w:p w14:paraId="7B3B41FA" w14:textId="6C7DF515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3" w:type="dxa"/>
            <w:gridSpan w:val="2"/>
          </w:tcPr>
          <w:p w14:paraId="7617C3F6" w14:textId="1C374F6F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949EC" w:rsidRPr="0011340A" w14:paraId="1950E0CB" w14:textId="77777777" w:rsidTr="000137EB">
        <w:tc>
          <w:tcPr>
            <w:tcW w:w="1943" w:type="dxa"/>
            <w:vMerge/>
            <w:vAlign w:val="center"/>
          </w:tcPr>
          <w:p w14:paraId="210F54FF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43C7CB9" w14:textId="5C7A3108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2142" w:type="dxa"/>
          </w:tcPr>
          <w:p w14:paraId="7F89A6FC" w14:textId="7ED4757A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5ED81352" w14:textId="37ABBC30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118" w:type="dxa"/>
          </w:tcPr>
          <w:p w14:paraId="226A21B5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977" w:type="dxa"/>
            <w:gridSpan w:val="2"/>
          </w:tcPr>
          <w:p w14:paraId="5C9BEC54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3" w:type="dxa"/>
            <w:gridSpan w:val="2"/>
          </w:tcPr>
          <w:p w14:paraId="2110B733" w14:textId="4E172B51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949EC" w:rsidRPr="0011340A" w14:paraId="58A3EBB7" w14:textId="77777777" w:rsidTr="000137EB">
        <w:tc>
          <w:tcPr>
            <w:tcW w:w="1943" w:type="dxa"/>
            <w:vMerge/>
            <w:vAlign w:val="center"/>
          </w:tcPr>
          <w:p w14:paraId="4ECC873D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76D118B" w14:textId="30968C85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CPL 4</w:t>
            </w:r>
          </w:p>
        </w:tc>
        <w:tc>
          <w:tcPr>
            <w:tcW w:w="2142" w:type="dxa"/>
          </w:tcPr>
          <w:p w14:paraId="4E46C7EE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35" w:type="dxa"/>
          </w:tcPr>
          <w:p w14:paraId="0C70C56A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118" w:type="dxa"/>
          </w:tcPr>
          <w:p w14:paraId="5D521FB7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977" w:type="dxa"/>
            <w:gridSpan w:val="2"/>
          </w:tcPr>
          <w:p w14:paraId="32978FC4" w14:textId="77777777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3" w:type="dxa"/>
            <w:gridSpan w:val="2"/>
          </w:tcPr>
          <w:p w14:paraId="09067ADB" w14:textId="7FF9BE5F" w:rsidR="000949EC" w:rsidRPr="000801C3" w:rsidRDefault="000949EC" w:rsidP="000949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949EC" w:rsidRPr="0011340A" w14:paraId="5AE8C464" w14:textId="77777777" w:rsidTr="004D0966">
        <w:tc>
          <w:tcPr>
            <w:tcW w:w="1943" w:type="dxa"/>
            <w:vAlign w:val="center"/>
          </w:tcPr>
          <w:p w14:paraId="68EA8D22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634" w:type="dxa"/>
            <w:gridSpan w:val="8"/>
          </w:tcPr>
          <w:p w14:paraId="09354019" w14:textId="5333D1E8" w:rsidR="000949EC" w:rsidRPr="000801C3" w:rsidRDefault="000949EC" w:rsidP="000949EC">
            <w:pPr>
              <w:pStyle w:val="Normal1"/>
              <w:spacing w:line="312" w:lineRule="auto"/>
              <w:jc w:val="both"/>
              <w:rPr>
                <w:rFonts w:ascii="Arial" w:hAnsi="Arial" w:cs="Arial"/>
              </w:rPr>
            </w:pPr>
            <w:r w:rsidRPr="000801C3">
              <w:rPr>
                <w:rFonts w:ascii="Arial" w:eastAsia="Arial" w:hAnsi="Arial" w:cs="Arial"/>
                <w:color w:val="auto"/>
              </w:rPr>
              <w:t xml:space="preserve">Mata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kuliah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ini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mempelajari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tentang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industri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 media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elektronik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hingga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 digital</w:t>
            </w:r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r w:rsidR="00F16020">
              <w:rPr>
                <w:rFonts w:ascii="Arial" w:eastAsia="Arial" w:hAnsi="Arial" w:cs="Arial"/>
                <w:color w:val="auto"/>
              </w:rPr>
              <w:t xml:space="preserve">sebagai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produsen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budaya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 yang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kemudian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akan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mempengaruhi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kebijakan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 dan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masyakat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F16020">
              <w:rPr>
                <w:rFonts w:ascii="Arial" w:eastAsia="Arial" w:hAnsi="Arial" w:cs="Arial"/>
                <w:color w:val="auto"/>
              </w:rPr>
              <w:t>luas</w:t>
            </w:r>
            <w:proofErr w:type="spellEnd"/>
            <w:r w:rsidR="00F16020">
              <w:rPr>
                <w:rFonts w:ascii="Arial" w:eastAsia="Arial" w:hAnsi="Arial" w:cs="Arial"/>
                <w:color w:val="auto"/>
              </w:rPr>
              <w:t xml:space="preserve">. </w:t>
            </w:r>
            <w:r w:rsidRPr="000801C3">
              <w:rPr>
                <w:rFonts w:ascii="Arial" w:eastAsia="Arial" w:hAnsi="Arial" w:cs="Arial"/>
                <w:color w:val="auto"/>
              </w:rPr>
              <w:t xml:space="preserve">Mata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kuliah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ini</w:t>
            </w:r>
            <w:proofErr w:type="spellEnd"/>
            <w:r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0801C3">
              <w:rPr>
                <w:rFonts w:ascii="Arial" w:eastAsia="Arial" w:hAnsi="Arial" w:cs="Arial"/>
                <w:color w:val="auto"/>
              </w:rPr>
              <w:t>mempelajar</w:t>
            </w:r>
            <w:proofErr w:type="spellEnd"/>
            <w:r w:rsidR="003A1126">
              <w:rPr>
                <w:rFonts w:ascii="Arial" w:eastAsia="Arial" w:hAnsi="Arial" w:cs="Arial"/>
                <w:color w:val="auto"/>
              </w:rPr>
              <w:t xml:space="preserve">: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Industri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media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dalam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kajian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komunikasi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dan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Karakteristik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Industri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Media</w:t>
            </w:r>
            <w:r w:rsidR="003A1126">
              <w:rPr>
                <w:rFonts w:ascii="Arial" w:eastAsia="Arial" w:hAnsi="Arial" w:cs="Arial"/>
                <w:color w:val="auto"/>
              </w:rPr>
              <w:t>;</w:t>
            </w:r>
            <w:r w:rsidR="003A1126" w:rsidRPr="003A1126">
              <w:rPr>
                <w:rFonts w:ascii="Arial" w:eastAsia="Arial" w:hAnsi="Arial" w:cs="Arial"/>
                <w:color w:val="auto"/>
              </w:rPr>
              <w:t xml:space="preserve"> Proses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produksi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media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elektronik</w:t>
            </w:r>
            <w:proofErr w:type="spellEnd"/>
            <w:r w:rsidR="003A1126">
              <w:rPr>
                <w:rFonts w:ascii="Arial" w:eastAsia="Arial" w:hAnsi="Arial" w:cs="Arial"/>
                <w:color w:val="auto"/>
              </w:rPr>
              <w:t>;</w:t>
            </w:r>
            <w:r w:rsidR="003A1126" w:rsidRPr="003A1126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Manajemen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industri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media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elektronik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;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Pemrograman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, Ekonomi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serta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Kompetisi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Industri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Media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Elektronik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;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Konvergensi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media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serta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media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baru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;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Konglomerasi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Media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serta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Kebijakan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Media di Indonesia; </w:t>
            </w:r>
            <w:r w:rsidR="003A1126">
              <w:rPr>
                <w:rFonts w:ascii="Arial" w:eastAsia="Arial" w:hAnsi="Arial" w:cs="Arial"/>
                <w:color w:val="auto"/>
              </w:rPr>
              <w:t xml:space="preserve">dan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Dinamika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="003A1126" w:rsidRPr="003A1126">
              <w:rPr>
                <w:rFonts w:ascii="Arial" w:eastAsia="Arial" w:hAnsi="Arial" w:cs="Arial"/>
                <w:color w:val="auto"/>
              </w:rPr>
              <w:t>Industri</w:t>
            </w:r>
            <w:proofErr w:type="spellEnd"/>
            <w:r w:rsidR="003A1126" w:rsidRPr="003A1126">
              <w:rPr>
                <w:rFonts w:ascii="Arial" w:eastAsia="Arial" w:hAnsi="Arial" w:cs="Arial"/>
                <w:color w:val="auto"/>
              </w:rPr>
              <w:t xml:space="preserve"> Media di Indonesia</w:t>
            </w:r>
            <w:r w:rsidRPr="000801C3">
              <w:rPr>
                <w:rFonts w:ascii="Arial" w:hAnsi="Arial" w:cs="Arial"/>
                <w:color w:val="auto"/>
              </w:rPr>
              <w:t xml:space="preserve">. </w:t>
            </w:r>
            <w:proofErr w:type="spellStart"/>
            <w:r w:rsidRPr="000801C3">
              <w:rPr>
                <w:rFonts w:ascii="Arial" w:hAnsi="Arial" w:cs="Arial"/>
              </w:rPr>
              <w:t>Setelah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selesai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mengikuti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perkuliahan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ini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mahasiswa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diharapkan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mampu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berfikir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kritis</w:t>
            </w:r>
            <w:proofErr w:type="spellEnd"/>
            <w:r w:rsidR="003A1126">
              <w:rPr>
                <w:rFonts w:ascii="Arial" w:hAnsi="Arial" w:cs="Arial"/>
              </w:rPr>
              <w:t xml:space="preserve"> dan </w:t>
            </w:r>
            <w:proofErr w:type="spellStart"/>
            <w:r w:rsidR="003A1126">
              <w:rPr>
                <w:rFonts w:ascii="Arial" w:hAnsi="Arial" w:cs="Arial"/>
              </w:rPr>
              <w:t>analitis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terhadap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memahami</w:t>
            </w:r>
            <w:proofErr w:type="spellEnd"/>
            <w:r w:rsidR="003A1126">
              <w:rPr>
                <w:rFonts w:ascii="Arial" w:hAnsi="Arial" w:cs="Arial"/>
              </w:rPr>
              <w:t xml:space="preserve"> dan </w:t>
            </w:r>
            <w:proofErr w:type="spellStart"/>
            <w:r w:rsidR="003A1126">
              <w:rPr>
                <w:rFonts w:ascii="Arial" w:hAnsi="Arial" w:cs="Arial"/>
              </w:rPr>
              <w:t>berfikir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terkait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fungsi</w:t>
            </w:r>
            <w:proofErr w:type="spellEnd"/>
            <w:r w:rsidR="003A1126">
              <w:rPr>
                <w:rFonts w:ascii="Arial" w:hAnsi="Arial" w:cs="Arial"/>
              </w:rPr>
              <w:t xml:space="preserve"> dan </w:t>
            </w:r>
            <w:proofErr w:type="spellStart"/>
            <w:r w:rsidR="003A1126">
              <w:rPr>
                <w:rFonts w:ascii="Arial" w:hAnsi="Arial" w:cs="Arial"/>
              </w:rPr>
              <w:t>tanggung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jawab</w:t>
            </w:r>
            <w:proofErr w:type="spellEnd"/>
            <w:r w:rsidR="003A1126">
              <w:rPr>
                <w:rFonts w:ascii="Arial" w:hAnsi="Arial" w:cs="Arial"/>
              </w:rPr>
              <w:t xml:space="preserve"> industri media</w:t>
            </w:r>
            <w:r w:rsidRPr="000801C3">
              <w:rPr>
                <w:rFonts w:ascii="Arial" w:hAnsi="Arial" w:cs="Arial"/>
              </w:rPr>
              <w:t xml:space="preserve">. </w:t>
            </w:r>
            <w:proofErr w:type="spellStart"/>
            <w:r w:rsidRPr="000801C3">
              <w:rPr>
                <w:rFonts w:ascii="Arial" w:hAnsi="Arial" w:cs="Arial"/>
              </w:rPr>
              <w:t>Selain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itu</w:t>
            </w:r>
            <w:proofErr w:type="spellEnd"/>
            <w:r w:rsidRPr="000801C3">
              <w:rPr>
                <w:rFonts w:ascii="Arial" w:hAnsi="Arial" w:cs="Arial"/>
              </w:rPr>
              <w:t xml:space="preserve"> dengan </w:t>
            </w:r>
            <w:proofErr w:type="spellStart"/>
            <w:r w:rsidRPr="000801C3">
              <w:rPr>
                <w:rFonts w:ascii="Arial" w:hAnsi="Arial" w:cs="Arial"/>
              </w:rPr>
              <w:t>mata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kuliah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ini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mahasiswa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diharapkan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mampu</w:t>
            </w:r>
            <w:proofErr w:type="spellEnd"/>
            <w:r w:rsidRPr="000801C3">
              <w:rPr>
                <w:rFonts w:ascii="Arial" w:hAnsi="Arial" w:cs="Arial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</w:rPr>
              <w:t>menganalisis</w:t>
            </w:r>
            <w:proofErr w:type="spellEnd"/>
            <w:r w:rsidRPr="000801C3">
              <w:rPr>
                <w:rFonts w:ascii="Arial" w:hAnsi="Arial" w:cs="Arial"/>
              </w:rPr>
              <w:t xml:space="preserve"> dan </w:t>
            </w:r>
            <w:proofErr w:type="spellStart"/>
            <w:r w:rsidRPr="000801C3">
              <w:rPr>
                <w:rFonts w:ascii="Arial" w:hAnsi="Arial" w:cs="Arial"/>
              </w:rPr>
              <w:t>mengevaluasi</w:t>
            </w:r>
            <w:proofErr w:type="spellEnd"/>
            <w:r w:rsidRPr="000801C3">
              <w:rPr>
                <w:rFonts w:ascii="Arial" w:hAnsi="Arial" w:cs="Arial"/>
              </w:rPr>
              <w:t xml:space="preserve"> konten media yang </w:t>
            </w:r>
            <w:proofErr w:type="spellStart"/>
            <w:r w:rsidRPr="000801C3">
              <w:rPr>
                <w:rFonts w:ascii="Arial" w:hAnsi="Arial" w:cs="Arial"/>
              </w:rPr>
              <w:t>disiarkan</w:t>
            </w:r>
            <w:proofErr w:type="spellEnd"/>
            <w:r w:rsidRPr="000801C3">
              <w:rPr>
                <w:rFonts w:ascii="Arial" w:hAnsi="Arial" w:cs="Arial"/>
              </w:rPr>
              <w:t xml:space="preserve"> oleh media</w:t>
            </w:r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elektronik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hingga</w:t>
            </w:r>
            <w:proofErr w:type="spellEnd"/>
            <w:r w:rsidR="003A1126">
              <w:rPr>
                <w:rFonts w:ascii="Arial" w:hAnsi="Arial" w:cs="Arial"/>
              </w:rPr>
              <w:t xml:space="preserve"> digital</w:t>
            </w:r>
            <w:r w:rsidRPr="000801C3">
              <w:rPr>
                <w:rFonts w:ascii="Arial" w:hAnsi="Arial" w:cs="Arial"/>
              </w:rPr>
              <w:t>.</w:t>
            </w:r>
            <w:r w:rsidR="003A1126">
              <w:rPr>
                <w:rFonts w:ascii="Arial" w:hAnsi="Arial" w:cs="Arial"/>
              </w:rPr>
              <w:t xml:space="preserve"> Mata </w:t>
            </w:r>
            <w:proofErr w:type="spellStart"/>
            <w:r w:rsidR="003A1126">
              <w:rPr>
                <w:rFonts w:ascii="Arial" w:hAnsi="Arial" w:cs="Arial"/>
              </w:rPr>
              <w:t>kuliah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ini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melatih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mahasiswa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melihat</w:t>
            </w:r>
            <w:proofErr w:type="spellEnd"/>
            <w:r w:rsidR="003A1126">
              <w:rPr>
                <w:rFonts w:ascii="Arial" w:hAnsi="Arial" w:cs="Arial"/>
              </w:rPr>
              <w:t xml:space="preserve"> media sebagai </w:t>
            </w:r>
            <w:proofErr w:type="spellStart"/>
            <w:r w:rsidR="003A1126">
              <w:rPr>
                <w:rFonts w:ascii="Arial" w:hAnsi="Arial" w:cs="Arial"/>
              </w:rPr>
              <w:t>institusi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produsen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budaya</w:t>
            </w:r>
            <w:proofErr w:type="spellEnd"/>
            <w:r w:rsidR="003A1126">
              <w:rPr>
                <w:rFonts w:ascii="Arial" w:hAnsi="Arial" w:cs="Arial"/>
              </w:rPr>
              <w:t xml:space="preserve"> dan </w:t>
            </w:r>
            <w:proofErr w:type="spellStart"/>
            <w:r w:rsidR="003A1126">
              <w:rPr>
                <w:rFonts w:ascii="Arial" w:hAnsi="Arial" w:cs="Arial"/>
              </w:rPr>
              <w:t>kritis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dalam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menganalisis</w:t>
            </w:r>
            <w:proofErr w:type="spellEnd"/>
            <w:r w:rsidR="003A1126">
              <w:rPr>
                <w:rFonts w:ascii="Arial" w:hAnsi="Arial" w:cs="Arial"/>
              </w:rPr>
              <w:t xml:space="preserve"> konten media yang </w:t>
            </w:r>
            <w:proofErr w:type="spellStart"/>
            <w:r w:rsidR="003A1126">
              <w:rPr>
                <w:rFonts w:ascii="Arial" w:hAnsi="Arial" w:cs="Arial"/>
              </w:rPr>
              <w:t>semakin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mudah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diakses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dewasa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ini</w:t>
            </w:r>
            <w:proofErr w:type="spellEnd"/>
            <w:r w:rsidR="003A1126">
              <w:rPr>
                <w:rFonts w:ascii="Arial" w:hAnsi="Arial" w:cs="Arial"/>
              </w:rPr>
              <w:t xml:space="preserve">. Mata </w:t>
            </w:r>
            <w:proofErr w:type="spellStart"/>
            <w:r w:rsidR="003A1126">
              <w:rPr>
                <w:rFonts w:ascii="Arial" w:hAnsi="Arial" w:cs="Arial"/>
              </w:rPr>
              <w:t>kuliah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ini</w:t>
            </w:r>
            <w:proofErr w:type="spellEnd"/>
            <w:r w:rsidR="003A1126">
              <w:rPr>
                <w:rFonts w:ascii="Arial" w:hAnsi="Arial" w:cs="Arial"/>
              </w:rPr>
              <w:t xml:space="preserve"> pula </w:t>
            </w:r>
            <w:proofErr w:type="spellStart"/>
            <w:r w:rsidR="003A1126">
              <w:rPr>
                <w:rFonts w:ascii="Arial" w:hAnsi="Arial" w:cs="Arial"/>
              </w:rPr>
              <w:t>memberikan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pemahaman</w:t>
            </w:r>
            <w:proofErr w:type="spellEnd"/>
            <w:r w:rsidR="003A1126">
              <w:rPr>
                <w:rFonts w:ascii="Arial" w:hAnsi="Arial" w:cs="Arial"/>
              </w:rPr>
              <w:t xml:space="preserve"> dan </w:t>
            </w:r>
            <w:proofErr w:type="spellStart"/>
            <w:r w:rsidR="003A1126">
              <w:rPr>
                <w:rFonts w:ascii="Arial" w:hAnsi="Arial" w:cs="Arial"/>
              </w:rPr>
              <w:t>pengalaman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mahasiswa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menuliskan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hasil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pemikiran</w:t>
            </w:r>
            <w:proofErr w:type="spellEnd"/>
            <w:r w:rsidR="003A1126">
              <w:rPr>
                <w:rFonts w:ascii="Arial" w:hAnsi="Arial" w:cs="Arial"/>
              </w:rPr>
              <w:t xml:space="preserve"> dan </w:t>
            </w:r>
            <w:proofErr w:type="spellStart"/>
            <w:r w:rsidR="003A1126">
              <w:rPr>
                <w:rFonts w:ascii="Arial" w:hAnsi="Arial" w:cs="Arial"/>
              </w:rPr>
              <w:t>diskusi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mereka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dalam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bentuk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artikel</w:t>
            </w:r>
            <w:proofErr w:type="spellEnd"/>
            <w:r w:rsidR="003A1126">
              <w:rPr>
                <w:rFonts w:ascii="Arial" w:hAnsi="Arial" w:cs="Arial"/>
              </w:rPr>
              <w:t xml:space="preserve"> yang </w:t>
            </w:r>
            <w:proofErr w:type="spellStart"/>
            <w:r w:rsidR="003A1126">
              <w:rPr>
                <w:rFonts w:ascii="Arial" w:hAnsi="Arial" w:cs="Arial"/>
              </w:rPr>
              <w:t>kemudian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dikirim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ke</w:t>
            </w:r>
            <w:proofErr w:type="spellEnd"/>
            <w:r w:rsidR="003A1126">
              <w:rPr>
                <w:rFonts w:ascii="Arial" w:hAnsi="Arial" w:cs="Arial"/>
              </w:rPr>
              <w:t xml:space="preserve"> media dengan </w:t>
            </w:r>
            <w:proofErr w:type="spellStart"/>
            <w:r w:rsidR="003A1126">
              <w:rPr>
                <w:rFonts w:ascii="Arial" w:hAnsi="Arial" w:cs="Arial"/>
              </w:rPr>
              <w:t>harapan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akan</w:t>
            </w:r>
            <w:proofErr w:type="spellEnd"/>
            <w:r w:rsidR="003A1126">
              <w:rPr>
                <w:rFonts w:ascii="Arial" w:hAnsi="Arial" w:cs="Arial"/>
              </w:rPr>
              <w:t xml:space="preserve"> </w:t>
            </w:r>
            <w:proofErr w:type="spellStart"/>
            <w:r w:rsidR="003A1126">
              <w:rPr>
                <w:rFonts w:ascii="Arial" w:hAnsi="Arial" w:cs="Arial"/>
              </w:rPr>
              <w:t>dipublis</w:t>
            </w:r>
            <w:proofErr w:type="spellEnd"/>
            <w:r w:rsidR="003A1126">
              <w:rPr>
                <w:rFonts w:ascii="Arial" w:hAnsi="Arial" w:cs="Arial"/>
              </w:rPr>
              <w:t xml:space="preserve"> oleh media </w:t>
            </w:r>
            <w:proofErr w:type="spellStart"/>
            <w:r w:rsidR="003A1126">
              <w:rPr>
                <w:rFonts w:ascii="Arial" w:hAnsi="Arial" w:cs="Arial"/>
              </w:rPr>
              <w:t>tersebut</w:t>
            </w:r>
            <w:proofErr w:type="spellEnd"/>
            <w:r w:rsidR="003A1126">
              <w:rPr>
                <w:rFonts w:ascii="Arial" w:hAnsi="Arial" w:cs="Arial"/>
              </w:rPr>
              <w:t>.</w:t>
            </w:r>
          </w:p>
        </w:tc>
      </w:tr>
      <w:tr w:rsidR="000949EC" w:rsidRPr="0011340A" w14:paraId="590800A6" w14:textId="77777777" w:rsidTr="004D0966">
        <w:tc>
          <w:tcPr>
            <w:tcW w:w="1943" w:type="dxa"/>
            <w:vAlign w:val="center"/>
          </w:tcPr>
          <w:p w14:paraId="2EC30AD8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634" w:type="dxa"/>
            <w:gridSpan w:val="8"/>
          </w:tcPr>
          <w:p w14:paraId="30E2EFCE" w14:textId="0462297A" w:rsidR="000949EC" w:rsidRPr="000801C3" w:rsidRDefault="003F0942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3F0942">
              <w:rPr>
                <w:rFonts w:ascii="Arial" w:hAnsi="Arial" w:cs="Arial"/>
                <w:color w:val="auto"/>
              </w:rPr>
              <w:t>Industri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dalam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kajian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komunikasi</w:t>
            </w:r>
            <w:proofErr w:type="spellEnd"/>
          </w:p>
          <w:p w14:paraId="4072C753" w14:textId="3E28680B" w:rsidR="000949EC" w:rsidRDefault="003F0942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3F0942">
              <w:rPr>
                <w:rFonts w:ascii="Arial" w:hAnsi="Arial" w:cs="Arial"/>
                <w:color w:val="auto"/>
              </w:rPr>
              <w:t>Karakteristik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Industri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Medi</w:t>
            </w:r>
            <w:r>
              <w:rPr>
                <w:rFonts w:ascii="Arial" w:hAnsi="Arial" w:cs="Arial"/>
                <w:color w:val="auto"/>
              </w:rPr>
              <w:t>a</w:t>
            </w:r>
          </w:p>
          <w:p w14:paraId="5C2719DE" w14:textId="44DDD196" w:rsidR="003F0942" w:rsidRDefault="003F0942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 w:rsidRPr="003F0942">
              <w:rPr>
                <w:rFonts w:ascii="Arial" w:hAnsi="Arial" w:cs="Arial"/>
                <w:color w:val="auto"/>
              </w:rPr>
              <w:t xml:space="preserve">Proses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produksi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elektronik</w:t>
            </w:r>
            <w:proofErr w:type="spellEnd"/>
          </w:p>
          <w:p w14:paraId="13D4E6C0" w14:textId="0CBE3E0A" w:rsidR="003F0942" w:rsidRDefault="003F0942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3F0942">
              <w:rPr>
                <w:rFonts w:ascii="Arial" w:hAnsi="Arial" w:cs="Arial"/>
                <w:color w:val="auto"/>
              </w:rPr>
              <w:t>Manajemen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industri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elektronik</w:t>
            </w:r>
            <w:proofErr w:type="spellEnd"/>
          </w:p>
          <w:p w14:paraId="0F86A3CA" w14:textId="795EB13D" w:rsidR="003F0942" w:rsidRDefault="003F0942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3F0942">
              <w:rPr>
                <w:rFonts w:ascii="Arial" w:hAnsi="Arial" w:cs="Arial"/>
                <w:color w:val="auto"/>
              </w:rPr>
              <w:t>Menajemen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SDM (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pengelolaan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, dan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tugas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SDM)</w:t>
            </w:r>
          </w:p>
          <w:p w14:paraId="6DB58756" w14:textId="40C2666C" w:rsidR="003F0942" w:rsidRDefault="003F0942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 w:rsidRPr="003F0942">
              <w:rPr>
                <w:rFonts w:ascii="Arial" w:hAnsi="Arial" w:cs="Arial"/>
                <w:color w:val="auto"/>
              </w:rPr>
              <w:t xml:space="preserve">Ekonomi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Industri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Elektronik</w:t>
            </w:r>
            <w:proofErr w:type="spellEnd"/>
          </w:p>
          <w:p w14:paraId="05A47D60" w14:textId="7CE02169" w:rsidR="003F0942" w:rsidRDefault="003F0942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3F0942">
              <w:rPr>
                <w:rFonts w:ascii="Arial" w:hAnsi="Arial" w:cs="Arial"/>
                <w:color w:val="auto"/>
              </w:rPr>
              <w:t>Kompetisi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Industri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Media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Elektronik</w:t>
            </w:r>
            <w:proofErr w:type="spellEnd"/>
          </w:p>
          <w:p w14:paraId="40170E82" w14:textId="3D6EB3BA" w:rsidR="003F0942" w:rsidRDefault="003F0942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 w:rsidRPr="003F0942">
              <w:rPr>
                <w:rFonts w:ascii="Arial" w:hAnsi="Arial" w:cs="Arial"/>
                <w:color w:val="auto"/>
              </w:rPr>
              <w:t>New media</w:t>
            </w:r>
          </w:p>
          <w:p w14:paraId="5731535E" w14:textId="693E76C5" w:rsidR="00476A70" w:rsidRPr="00476A70" w:rsidRDefault="00476A70" w:rsidP="00476A70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3F0942">
              <w:rPr>
                <w:rFonts w:ascii="Arial" w:hAnsi="Arial" w:cs="Arial"/>
                <w:color w:val="auto"/>
              </w:rPr>
              <w:t>Konvergensi</w:t>
            </w:r>
            <w:proofErr w:type="spellEnd"/>
          </w:p>
          <w:p w14:paraId="6476DC18" w14:textId="680C2E53" w:rsidR="003F0942" w:rsidRDefault="00683E58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K</w:t>
            </w:r>
            <w:r w:rsidR="003F0942" w:rsidRPr="003F0942">
              <w:rPr>
                <w:rFonts w:ascii="Arial" w:hAnsi="Arial" w:cs="Arial"/>
                <w:color w:val="auto"/>
              </w:rPr>
              <w:t>onglomerasi</w:t>
            </w:r>
            <w:proofErr w:type="spellEnd"/>
            <w:r w:rsidR="003F0942" w:rsidRPr="003F0942">
              <w:rPr>
                <w:rFonts w:ascii="Arial" w:hAnsi="Arial" w:cs="Arial"/>
                <w:color w:val="auto"/>
              </w:rPr>
              <w:t xml:space="preserve"> media</w:t>
            </w:r>
          </w:p>
          <w:p w14:paraId="43455025" w14:textId="77777777" w:rsidR="00476A70" w:rsidRDefault="003F0942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3F0942">
              <w:rPr>
                <w:rFonts w:ascii="Arial" w:hAnsi="Arial" w:cs="Arial"/>
                <w:color w:val="auto"/>
              </w:rPr>
              <w:t>Kebijakan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Media </w:t>
            </w:r>
          </w:p>
          <w:p w14:paraId="0B83C422" w14:textId="0E8C9BE5" w:rsidR="003F0942" w:rsidRPr="000801C3" w:rsidRDefault="003F0942" w:rsidP="000949EC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3F0942">
              <w:rPr>
                <w:rFonts w:ascii="Arial" w:hAnsi="Arial" w:cs="Arial"/>
                <w:color w:val="auto"/>
              </w:rPr>
              <w:t>Dinamika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F0942">
              <w:rPr>
                <w:rFonts w:ascii="Arial" w:hAnsi="Arial" w:cs="Arial"/>
                <w:color w:val="auto"/>
              </w:rPr>
              <w:t>Industri</w:t>
            </w:r>
            <w:proofErr w:type="spellEnd"/>
            <w:r w:rsidRPr="003F0942">
              <w:rPr>
                <w:rFonts w:ascii="Arial" w:hAnsi="Arial" w:cs="Arial"/>
                <w:color w:val="auto"/>
              </w:rPr>
              <w:t xml:space="preserve"> Media di Indonesia</w:t>
            </w:r>
          </w:p>
        </w:tc>
      </w:tr>
      <w:tr w:rsidR="000949EC" w:rsidRPr="0011340A" w14:paraId="43364CF9" w14:textId="77777777" w:rsidTr="004D0966">
        <w:tc>
          <w:tcPr>
            <w:tcW w:w="1943" w:type="dxa"/>
            <w:vMerge w:val="restart"/>
            <w:vAlign w:val="center"/>
          </w:tcPr>
          <w:p w14:paraId="230DD844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652E7B1F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0949EC" w:rsidRPr="0011340A" w14:paraId="007F85A7" w14:textId="77777777" w:rsidTr="004D0966">
        <w:tc>
          <w:tcPr>
            <w:tcW w:w="1943" w:type="dxa"/>
            <w:vMerge/>
            <w:vAlign w:val="center"/>
          </w:tcPr>
          <w:p w14:paraId="1533B7D6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7D4ED737" w14:textId="77777777" w:rsidR="000949EC" w:rsidRPr="000801C3" w:rsidRDefault="000949EC" w:rsidP="000949EC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Baran &amp;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; Davis. 2012.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Mass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theory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ferment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Wadsworth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Cengage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</w:p>
          <w:p w14:paraId="71523F05" w14:textId="7B488F9C" w:rsidR="000949EC" w:rsidRPr="000801C3" w:rsidRDefault="000949EC" w:rsidP="000949EC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Albarran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Alan B. 2010.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Electronic Media.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Fourth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Edition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Wadsworth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Cengage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</w:p>
          <w:p w14:paraId="16207DD6" w14:textId="510FD140" w:rsidR="000949EC" w:rsidRPr="000801C3" w:rsidRDefault="000949EC" w:rsidP="000949EC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Morrisan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2008. Manajemen Media Penyiaran-Strategi Mengelola Radio &amp;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; Televisi. Jakarta:</w:t>
            </w:r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 xml:space="preserve">Kencana,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Prenada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Media Group.</w:t>
            </w:r>
          </w:p>
          <w:p w14:paraId="2D8F2C12" w14:textId="689A7319" w:rsidR="000949EC" w:rsidRPr="000801C3" w:rsidRDefault="000949EC" w:rsidP="000949EC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Nugroho, Y., Putri, DA., Laksmi, S. 2012. Memetakan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Lansekap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Industri Media Kontemporer di</w:t>
            </w:r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 xml:space="preserve">Indonesia (Edisi Bahasa Indonesia). Riset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kerjasama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antara Centre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Governance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dan HIVOS Kantor Regional Asia Tenggara, didanai oleh Ford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Jakarta:</w:t>
            </w:r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>CIPG dan HIVOS.</w:t>
            </w:r>
          </w:p>
          <w:p w14:paraId="7C205C3D" w14:textId="0AFDCDDA" w:rsidR="000949EC" w:rsidRPr="000801C3" w:rsidRDefault="000949EC" w:rsidP="000949EC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Sulvianijayanti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2018. Manajemen dan konvergensi media penyiaran. Makassar: Aksara Timur</w:t>
            </w:r>
          </w:p>
        </w:tc>
      </w:tr>
      <w:tr w:rsidR="000949EC" w:rsidRPr="0011340A" w14:paraId="5501D7FC" w14:textId="77777777" w:rsidTr="004D0966">
        <w:tc>
          <w:tcPr>
            <w:tcW w:w="1943" w:type="dxa"/>
            <w:vMerge/>
            <w:vAlign w:val="center"/>
          </w:tcPr>
          <w:p w14:paraId="61454FC8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3B12A2F1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0949EC" w:rsidRPr="0011340A" w14:paraId="52740465" w14:textId="77777777" w:rsidTr="004D0966">
        <w:tc>
          <w:tcPr>
            <w:tcW w:w="1943" w:type="dxa"/>
            <w:vMerge/>
            <w:vAlign w:val="center"/>
          </w:tcPr>
          <w:p w14:paraId="42C7AF9F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594E3218" w14:textId="77777777" w:rsidR="000949EC" w:rsidRPr="000801C3" w:rsidRDefault="000949EC" w:rsidP="000949EC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Mufid, Muhamad. 2005. Komunikasi dan Regulasi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Penyiaram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Jakarta: Kencana,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Prenada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Media</w:t>
            </w:r>
            <w:r w:rsidRPr="0008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>Group &amp;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; UIN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Press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E499CA" w14:textId="77777777" w:rsidR="000949EC" w:rsidRPr="000801C3" w:rsidRDefault="000949EC" w:rsidP="000949EC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UU No. 32/2002 tentang Penyiaran. Bandung: Penerbit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Fokusmedia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2005.</w:t>
            </w:r>
          </w:p>
          <w:p w14:paraId="07EC9069" w14:textId="77777777" w:rsidR="000949EC" w:rsidRPr="000801C3" w:rsidRDefault="000949EC" w:rsidP="000949EC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lastRenderedPageBreak/>
              <w:t xml:space="preserve">UU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40/1992 tentang Pers. Bandung: Penerbit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Fokusmedia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 2005.</w:t>
            </w:r>
          </w:p>
          <w:p w14:paraId="196CBE33" w14:textId="77777777" w:rsidR="000949EC" w:rsidRPr="000801C3" w:rsidRDefault="000949EC" w:rsidP="000949EC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Wahyudi, J.B. 1994,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Dasar-Dasar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Manajemen Penyiaran. Jakarta: Gramedia</w:t>
            </w:r>
          </w:p>
          <w:p w14:paraId="08DE7BC0" w14:textId="77777777" w:rsidR="000949EC" w:rsidRPr="000801C3" w:rsidRDefault="000949EC" w:rsidP="000949EC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Zettl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Herbert, 2003.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Handbook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. USA: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Wadsworth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A92EC6" w14:textId="710841CE" w:rsidR="000949EC" w:rsidRPr="000801C3" w:rsidRDefault="000949EC" w:rsidP="000949EC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Kusumaningtias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>, Intan Tri. Dasar-dasar penyiaran. Universitas Pakuan, Bogor</w:t>
            </w:r>
          </w:p>
        </w:tc>
      </w:tr>
      <w:tr w:rsidR="000949EC" w:rsidRPr="0011340A" w14:paraId="38DCC794" w14:textId="77777777" w:rsidTr="004D0966">
        <w:tc>
          <w:tcPr>
            <w:tcW w:w="1943" w:type="dxa"/>
            <w:vAlign w:val="center"/>
          </w:tcPr>
          <w:p w14:paraId="4E2CF143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lastRenderedPageBreak/>
              <w:t>Dosen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634" w:type="dxa"/>
            <w:gridSpan w:val="8"/>
          </w:tcPr>
          <w:p w14:paraId="2D30814A" w14:textId="0C839F58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Ahsani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Taqwim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Aminuddin</w:t>
            </w:r>
            <w:proofErr w:type="spellEnd"/>
            <w:r w:rsidRPr="000801C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801C3">
              <w:rPr>
                <w:rFonts w:ascii="Arial" w:hAnsi="Arial" w:cs="Arial"/>
                <w:sz w:val="20"/>
                <w:szCs w:val="20"/>
              </w:rPr>
              <w:t>M.I.Kom</w:t>
            </w:r>
            <w:proofErr w:type="spellEnd"/>
          </w:p>
        </w:tc>
      </w:tr>
      <w:tr w:rsidR="000949EC" w:rsidRPr="0011340A" w14:paraId="203F1797" w14:textId="77777777" w:rsidTr="004D0966">
        <w:tc>
          <w:tcPr>
            <w:tcW w:w="1943" w:type="dxa"/>
            <w:vAlign w:val="center"/>
          </w:tcPr>
          <w:p w14:paraId="08E14E7D" w14:textId="77777777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0801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801C3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634" w:type="dxa"/>
            <w:gridSpan w:val="8"/>
          </w:tcPr>
          <w:p w14:paraId="468CBD18" w14:textId="6D81C31B" w:rsidR="000949EC" w:rsidRPr="000801C3" w:rsidRDefault="000949EC" w:rsidP="000949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2F78B57A" w14:textId="6C8E9393" w:rsidR="00D80385" w:rsidRDefault="00D80385" w:rsidP="00DC1632">
      <w:pPr>
        <w:spacing w:line="276" w:lineRule="auto"/>
      </w:pPr>
    </w:p>
    <w:p w14:paraId="3D331803" w14:textId="77777777" w:rsidR="0045715C" w:rsidRDefault="0045715C" w:rsidP="00DC1632">
      <w:pPr>
        <w:spacing w:line="276" w:lineRule="auto"/>
      </w:pPr>
    </w:p>
    <w:tbl>
      <w:tblPr>
        <w:tblStyle w:val="TableGrid"/>
        <w:tblW w:w="177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3685"/>
        <w:gridCol w:w="2127"/>
        <w:gridCol w:w="15"/>
        <w:gridCol w:w="2394"/>
        <w:gridCol w:w="1701"/>
        <w:gridCol w:w="15"/>
        <w:gridCol w:w="2395"/>
        <w:gridCol w:w="15"/>
        <w:gridCol w:w="1119"/>
      </w:tblGrid>
      <w:tr w:rsidR="00432173" w:rsidRPr="00F66C11" w14:paraId="6EAFAC53" w14:textId="77777777" w:rsidTr="00F66C11">
        <w:tc>
          <w:tcPr>
            <w:tcW w:w="1134" w:type="dxa"/>
            <w:vMerge w:val="restart"/>
            <w:vAlign w:val="center"/>
          </w:tcPr>
          <w:p w14:paraId="44D6D6F2" w14:textId="77777777" w:rsidR="00D80385" w:rsidRPr="00F66C11" w:rsidRDefault="00D80385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14:paraId="0100E2A7" w14:textId="64BA2665" w:rsidR="00D80385" w:rsidRPr="00F66C1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="008B6DB7" w:rsidRPr="00F66C11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827" w:type="dxa"/>
            <w:gridSpan w:val="3"/>
            <w:vAlign w:val="center"/>
          </w:tcPr>
          <w:p w14:paraId="1A03C0E4" w14:textId="77777777" w:rsidR="00D80385" w:rsidRPr="00F66C11" w:rsidRDefault="00D80385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110" w:type="dxa"/>
            <w:gridSpan w:val="3"/>
            <w:vAlign w:val="center"/>
          </w:tcPr>
          <w:p w14:paraId="1D0BA25B" w14:textId="77777777" w:rsidR="00D80385" w:rsidRPr="00F66C1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66C1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F66C1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F66C1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2410" w:type="dxa"/>
            <w:gridSpan w:val="2"/>
            <w:vAlign w:val="center"/>
          </w:tcPr>
          <w:p w14:paraId="62602C86" w14:textId="77777777" w:rsidR="00D80385" w:rsidRPr="00F66C1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66C1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1119" w:type="dxa"/>
            <w:vAlign w:val="center"/>
          </w:tcPr>
          <w:p w14:paraId="1E99005D" w14:textId="77777777" w:rsidR="00D80385" w:rsidRPr="00F66C11" w:rsidRDefault="00D80385" w:rsidP="00F82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F66C11" w14:paraId="2885FE36" w14:textId="77777777" w:rsidTr="00F66C11">
        <w:tc>
          <w:tcPr>
            <w:tcW w:w="1134" w:type="dxa"/>
            <w:vMerge/>
            <w:vAlign w:val="center"/>
          </w:tcPr>
          <w:p w14:paraId="6472E35D" w14:textId="77777777" w:rsidR="00D80385" w:rsidRPr="00F66C11" w:rsidRDefault="00D80385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6894054" w14:textId="77777777" w:rsidR="00D80385" w:rsidRPr="00F66C1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758C50" w14:textId="77777777" w:rsidR="00D80385" w:rsidRPr="00F66C1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127" w:type="dxa"/>
            <w:vAlign w:val="center"/>
          </w:tcPr>
          <w:p w14:paraId="0A94C2F1" w14:textId="77777777" w:rsidR="00D80385" w:rsidRPr="00F66C1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08073DFE" w14:textId="77777777" w:rsidR="00D80385" w:rsidRPr="00F66C1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701" w:type="dxa"/>
            <w:vAlign w:val="center"/>
          </w:tcPr>
          <w:p w14:paraId="18E1F3B8" w14:textId="77777777" w:rsidR="00D80385" w:rsidRPr="00F66C11" w:rsidRDefault="00D80385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410" w:type="dxa"/>
            <w:gridSpan w:val="2"/>
            <w:vAlign w:val="center"/>
          </w:tcPr>
          <w:p w14:paraId="2F4FA765" w14:textId="77777777" w:rsidR="00D80385" w:rsidRPr="00F66C11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D5A775" w14:textId="77777777" w:rsidR="00D80385" w:rsidRPr="00F66C11" w:rsidRDefault="00D80385" w:rsidP="00F82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7A4" w:rsidRPr="00F66C11" w14:paraId="38756A39" w14:textId="77777777" w:rsidTr="00F66C11">
        <w:tc>
          <w:tcPr>
            <w:tcW w:w="1134" w:type="dxa"/>
            <w:vAlign w:val="center"/>
          </w:tcPr>
          <w:p w14:paraId="377614C4" w14:textId="0D723CF4" w:rsidR="00D017A4" w:rsidRPr="00F66C11" w:rsidRDefault="00D017A4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</w:t>
            </w:r>
            <w:r w:rsidR="00C922EA" w:rsidRPr="00F66C11">
              <w:rPr>
                <w:rFonts w:ascii="Arial" w:hAnsi="Arial" w:cs="Arial"/>
                <w:sz w:val="20"/>
                <w:szCs w:val="20"/>
              </w:rPr>
              <w:t>,2</w:t>
            </w:r>
          </w:p>
        </w:tc>
        <w:tc>
          <w:tcPr>
            <w:tcW w:w="3119" w:type="dxa"/>
            <w:vAlign w:val="center"/>
          </w:tcPr>
          <w:p w14:paraId="4807710E" w14:textId="0044F0C6" w:rsidR="00D017A4" w:rsidRPr="00F66C11" w:rsidRDefault="0020107E" w:rsidP="000801C3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kajian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Media</w:t>
            </w:r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(</w:t>
            </w:r>
            <w:r w:rsidR="008B6DB7" w:rsidRPr="00F66C11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CPMK 1)</w:t>
            </w:r>
          </w:p>
        </w:tc>
        <w:tc>
          <w:tcPr>
            <w:tcW w:w="3685" w:type="dxa"/>
            <w:vAlign w:val="center"/>
          </w:tcPr>
          <w:p w14:paraId="2A5674D5" w14:textId="14AD6FE9" w:rsidR="0020107E" w:rsidRDefault="0020107E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0" w:name="_Hlk130021951"/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emahami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Industri media dalam kajian komunikasi dan Karakteristik Industri Media </w:t>
            </w:r>
          </w:p>
          <w:p w14:paraId="1C622460" w14:textId="2372B523" w:rsidR="00D017A4" w:rsidRPr="0020107E" w:rsidRDefault="0020107E" w:rsidP="002010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Industri media dalam kajian komunikasi dan Karakteristik Industri Media</w:t>
            </w:r>
            <w:bookmarkEnd w:id="0"/>
          </w:p>
        </w:tc>
        <w:tc>
          <w:tcPr>
            <w:tcW w:w="2127" w:type="dxa"/>
            <w:vAlign w:val="center"/>
          </w:tcPr>
          <w:p w14:paraId="7C1A36A3" w14:textId="2F63D6CC" w:rsidR="00D017A4" w:rsidRPr="00F66C11" w:rsidRDefault="00E827E8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14AF06AA" w14:textId="6A54CA4C" w:rsidR="00D017A4" w:rsidRPr="00F66C11" w:rsidRDefault="00D017A4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44985" w:rsidRPr="00F66C11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vAlign w:val="center"/>
          </w:tcPr>
          <w:p w14:paraId="199F51CC" w14:textId="77777777" w:rsidR="00D017A4" w:rsidRPr="00F66C11" w:rsidRDefault="008505C0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011AEC4" w14:textId="3A709BB4" w:rsidR="00D017A4" w:rsidRPr="00F66C11" w:rsidRDefault="00C922EA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>sejaran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media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>penyiaran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116A5CC3" w14:textId="3526B600" w:rsidR="00D017A4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505C0" w:rsidRPr="00F66C11" w14:paraId="69A634E2" w14:textId="77777777" w:rsidTr="00F66C11">
        <w:tc>
          <w:tcPr>
            <w:tcW w:w="1134" w:type="dxa"/>
            <w:vAlign w:val="center"/>
          </w:tcPr>
          <w:p w14:paraId="0B78EE31" w14:textId="72991BE1" w:rsidR="008505C0" w:rsidRPr="00F66C11" w:rsidRDefault="00C922EA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39568D57" w14:textId="15774AD4" w:rsidR="008505C0" w:rsidRPr="00F66C11" w:rsidRDefault="0020107E" w:rsidP="000801C3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 Proses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produksi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elektronik</w:t>
            </w:r>
            <w:proofErr w:type="spellEnd"/>
            <w:r w:rsidR="002C3835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(</w:t>
            </w:r>
            <w:r w:rsidR="008B6DB7" w:rsidRPr="00F66C11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CPMK 2)</w:t>
            </w:r>
          </w:p>
        </w:tc>
        <w:tc>
          <w:tcPr>
            <w:tcW w:w="3685" w:type="dxa"/>
            <w:vAlign w:val="center"/>
          </w:tcPr>
          <w:p w14:paraId="7A2AAB9B" w14:textId="4CFE5468" w:rsidR="0020107E" w:rsidRPr="0020107E" w:rsidRDefault="0020107E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1" w:name="_Hlk130023851"/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emahami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Proses produksi media elektronik</w:t>
            </w:r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60AAA1" w14:textId="53F8E7A1" w:rsidR="002C3835" w:rsidRPr="0020107E" w:rsidRDefault="0020107E" w:rsidP="002010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Proses produksi media elektronik</w:t>
            </w:r>
            <w:r w:rsidRPr="00F66C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End w:id="1"/>
          </w:p>
        </w:tc>
        <w:tc>
          <w:tcPr>
            <w:tcW w:w="2127" w:type="dxa"/>
            <w:vAlign w:val="center"/>
          </w:tcPr>
          <w:p w14:paraId="5D7EDD12" w14:textId="21B89AB8" w:rsidR="008505C0" w:rsidRPr="00F66C11" w:rsidRDefault="00F66C1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44985" w:rsidRPr="00F66C11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="00644985"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6F3DBAC" w14:textId="202DF941" w:rsidR="008505C0" w:rsidRPr="00F66C11" w:rsidRDefault="00571AC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CBL,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="008505C0"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="008505C0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="008505C0"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="008505C0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="008505C0"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505C0" w:rsidRPr="00F66C11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343F310C" w14:textId="77777777" w:rsidR="008505C0" w:rsidRPr="00F66C11" w:rsidRDefault="008505C0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774971D9" w14:textId="273C75D0" w:rsidR="008505C0" w:rsidRPr="00F66C11" w:rsidRDefault="00C922EA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media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kajian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7A17F87" w14:textId="702CEC25" w:rsidR="008505C0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505C0" w:rsidRPr="00F66C11" w14:paraId="1505D44A" w14:textId="77777777" w:rsidTr="00F66C11">
        <w:tc>
          <w:tcPr>
            <w:tcW w:w="1134" w:type="dxa"/>
            <w:vAlign w:val="center"/>
          </w:tcPr>
          <w:p w14:paraId="2847AFF3" w14:textId="2673E7E3" w:rsidR="008505C0" w:rsidRPr="00F66C11" w:rsidRDefault="00C922EA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3119" w:type="dxa"/>
            <w:vAlign w:val="center"/>
          </w:tcPr>
          <w:p w14:paraId="6135BBB1" w14:textId="5E740451" w:rsidR="008505C0" w:rsidRPr="00F66C11" w:rsidRDefault="0020107E" w:rsidP="000801C3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Manajemen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elektronik</w:t>
            </w:r>
            <w:proofErr w:type="spellEnd"/>
            <w:r w:rsidR="002C3835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(</w:t>
            </w:r>
            <w:r w:rsidR="008B6DB7" w:rsidRPr="00F66C11">
              <w:rPr>
                <w:rFonts w:ascii="Arial" w:hAnsi="Arial" w:cs="Arial"/>
                <w:sz w:val="20"/>
                <w:szCs w:val="20"/>
              </w:rPr>
              <w:t>Sub-</w:t>
            </w:r>
            <w:r w:rsidR="008505C0" w:rsidRPr="00F66C11">
              <w:rPr>
                <w:rFonts w:ascii="Arial" w:hAnsi="Arial" w:cs="Arial"/>
                <w:sz w:val="20"/>
                <w:szCs w:val="20"/>
              </w:rPr>
              <w:t>CPMK 3)</w:t>
            </w:r>
          </w:p>
        </w:tc>
        <w:tc>
          <w:tcPr>
            <w:tcW w:w="3685" w:type="dxa"/>
            <w:vAlign w:val="center"/>
          </w:tcPr>
          <w:p w14:paraId="0129625C" w14:textId="2E5B1D91" w:rsidR="0020107E" w:rsidRDefault="0020107E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2" w:name="_Hlk130024710"/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0107E">
              <w:rPr>
                <w:rFonts w:ascii="Arial" w:hAnsi="Arial" w:cs="Arial"/>
                <w:sz w:val="20"/>
                <w:szCs w:val="20"/>
              </w:rPr>
              <w:t>emahami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Manajemen industri media elektronik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23572" w14:textId="68365BBF" w:rsidR="008505C0" w:rsidRPr="0020107E" w:rsidRDefault="0020107E" w:rsidP="002010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Manajemen industri media elektronik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B93"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835" w:rsidRPr="00201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End w:id="2"/>
          </w:p>
        </w:tc>
        <w:tc>
          <w:tcPr>
            <w:tcW w:w="2127" w:type="dxa"/>
            <w:vAlign w:val="center"/>
          </w:tcPr>
          <w:p w14:paraId="4AE934F9" w14:textId="11D229C9" w:rsidR="008505C0" w:rsidRPr="00F66C11" w:rsidRDefault="00F66C1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409" w:type="dxa"/>
            <w:gridSpan w:val="2"/>
            <w:vAlign w:val="center"/>
          </w:tcPr>
          <w:p w14:paraId="6FA21723" w14:textId="27B7FEB6" w:rsidR="008505C0" w:rsidRPr="00F66C11" w:rsidRDefault="00571AC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CBL,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385E7C06" w14:textId="77777777" w:rsidR="008505C0" w:rsidRPr="00F66C11" w:rsidRDefault="008505C0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BC8B1A6" w14:textId="04F51BB5" w:rsidR="008505C0" w:rsidRPr="00F66C11" w:rsidRDefault="00C922EA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D53DB02" w14:textId="03A92F3F" w:rsidR="008505C0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657A1" w:rsidRPr="00F66C11" w14:paraId="43987F9B" w14:textId="77777777" w:rsidTr="00F66C11">
        <w:tc>
          <w:tcPr>
            <w:tcW w:w="1134" w:type="dxa"/>
            <w:vAlign w:val="center"/>
          </w:tcPr>
          <w:p w14:paraId="1BADD867" w14:textId="16C9289D" w:rsidR="002657A1" w:rsidRPr="00F66C11" w:rsidRDefault="00C922EA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3119" w:type="dxa"/>
            <w:vAlign w:val="center"/>
          </w:tcPr>
          <w:p w14:paraId="77539FC3" w14:textId="4383AB47" w:rsidR="002657A1" w:rsidRPr="00F66C11" w:rsidRDefault="0020107E" w:rsidP="000801C3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, Ekonomi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Kompetisi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Elektronik</w:t>
            </w:r>
            <w:proofErr w:type="spellEnd"/>
            <w:r w:rsidR="0045715C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7A1" w:rsidRPr="00F66C11">
              <w:rPr>
                <w:rFonts w:ascii="Arial" w:hAnsi="Arial" w:cs="Arial"/>
                <w:sz w:val="20"/>
                <w:szCs w:val="20"/>
              </w:rPr>
              <w:t>(</w:t>
            </w:r>
            <w:r w:rsidR="008B6DB7" w:rsidRPr="00F66C11">
              <w:rPr>
                <w:rFonts w:ascii="Arial" w:hAnsi="Arial" w:cs="Arial"/>
                <w:sz w:val="20"/>
                <w:szCs w:val="20"/>
              </w:rPr>
              <w:t>Sub-</w:t>
            </w:r>
            <w:r w:rsidR="002657A1" w:rsidRPr="00F66C11">
              <w:rPr>
                <w:rFonts w:ascii="Arial" w:hAnsi="Arial" w:cs="Arial"/>
                <w:sz w:val="20"/>
                <w:szCs w:val="20"/>
              </w:rPr>
              <w:t>CPMK 4)</w:t>
            </w:r>
          </w:p>
        </w:tc>
        <w:tc>
          <w:tcPr>
            <w:tcW w:w="3685" w:type="dxa"/>
            <w:vAlign w:val="center"/>
          </w:tcPr>
          <w:p w14:paraId="1D714683" w14:textId="2EEFEEEC" w:rsidR="0020107E" w:rsidRDefault="0020107E" w:rsidP="000801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3" w:name="_Hlk130025424"/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emahami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Pemrograman, Ekonomi serta Kompetisi Industri Media Elektronik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901EA4" w14:textId="33392E74" w:rsidR="003A5B57" w:rsidRPr="0020107E" w:rsidRDefault="0020107E" w:rsidP="002010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Pemrograman, Ekonomi serta Kompetisi Industri Media Elektronik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3"/>
            <w:r w:rsidR="00EE1251" w:rsidRPr="00201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8F46720" w14:textId="7BD353A4" w:rsidR="002657A1" w:rsidRPr="00F66C11" w:rsidRDefault="00E827E8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1324FF89" w14:textId="422AEC27" w:rsidR="002657A1" w:rsidRPr="00F66C11" w:rsidRDefault="00571AC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CBL,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1" w:type="dxa"/>
            <w:vAlign w:val="center"/>
          </w:tcPr>
          <w:p w14:paraId="0D6BD422" w14:textId="77777777" w:rsidR="002657A1" w:rsidRPr="00F66C11" w:rsidRDefault="002657A1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7CB5DA04" w14:textId="1A294DB0" w:rsidR="002657A1" w:rsidRPr="00F66C11" w:rsidRDefault="00C922EA" w:rsidP="000801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Pemrograman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konvergensi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779B819" w14:textId="13406562" w:rsidR="002657A1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657A1" w:rsidRPr="00F66C11" w14:paraId="695137F3" w14:textId="77777777" w:rsidTr="00F66C11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64460F" w14:textId="77777777" w:rsidR="002657A1" w:rsidRPr="00F66C11" w:rsidRDefault="002657A1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585" w:type="dxa"/>
            <w:gridSpan w:val="10"/>
            <w:shd w:val="clear" w:color="auto" w:fill="D9D9D9" w:themeFill="background1" w:themeFillShade="D9"/>
            <w:vAlign w:val="center"/>
          </w:tcPr>
          <w:p w14:paraId="3DE084BE" w14:textId="77777777" w:rsidR="002657A1" w:rsidRPr="00F66C11" w:rsidRDefault="002657A1" w:rsidP="009F44E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2657A1" w:rsidRPr="00F66C11" w14:paraId="0C0C824F" w14:textId="77777777" w:rsidTr="00F66C11">
        <w:tc>
          <w:tcPr>
            <w:tcW w:w="1134" w:type="dxa"/>
            <w:vAlign w:val="center"/>
          </w:tcPr>
          <w:p w14:paraId="6BDC57B1" w14:textId="197189D4" w:rsidR="002657A1" w:rsidRPr="00F66C11" w:rsidRDefault="002657A1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lastRenderedPageBreak/>
              <w:t>9,1</w:t>
            </w:r>
            <w:r w:rsidR="00C922EA" w:rsidRPr="00F66C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7F1D0926" w14:textId="63D7FBF6" w:rsidR="002657A1" w:rsidRPr="00F66C11" w:rsidRDefault="0020107E" w:rsidP="002657A1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Konvergensi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  <w:r w:rsidR="00784B93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7A1" w:rsidRPr="00F66C11">
              <w:rPr>
                <w:rFonts w:ascii="Arial" w:hAnsi="Arial" w:cs="Arial"/>
                <w:sz w:val="20"/>
                <w:szCs w:val="20"/>
              </w:rPr>
              <w:t>(</w:t>
            </w:r>
            <w:r w:rsidR="00EB7134" w:rsidRPr="00F66C11">
              <w:rPr>
                <w:rFonts w:ascii="Arial" w:hAnsi="Arial" w:cs="Arial"/>
                <w:sz w:val="20"/>
                <w:szCs w:val="20"/>
              </w:rPr>
              <w:t>Sub-</w:t>
            </w:r>
            <w:r w:rsidR="002657A1" w:rsidRPr="00F66C11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45715C" w:rsidRPr="00F66C11">
              <w:rPr>
                <w:rFonts w:ascii="Arial" w:hAnsi="Arial" w:cs="Arial"/>
                <w:sz w:val="20"/>
                <w:szCs w:val="20"/>
              </w:rPr>
              <w:t>5</w:t>
            </w:r>
            <w:r w:rsidR="002657A1" w:rsidRPr="00F66C1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33F6B150" w14:textId="443FA30D" w:rsidR="0020107E" w:rsidRDefault="0020107E" w:rsidP="00EE1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Konvergensi media serta media baru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FE88D4" w14:textId="1112E280" w:rsidR="002657A1" w:rsidRPr="0020107E" w:rsidRDefault="0020107E" w:rsidP="002010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engevaluasi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Konvergensi media serta media baru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B93"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1D3F732" w14:textId="366615F0" w:rsidR="002657A1" w:rsidRPr="00F66C11" w:rsidRDefault="00E827E8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5BBF0C42" w14:textId="461C0012" w:rsidR="002657A1" w:rsidRPr="00F66C11" w:rsidRDefault="00571AC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701" w:type="dxa"/>
            <w:vAlign w:val="center"/>
          </w:tcPr>
          <w:p w14:paraId="4B462AAD" w14:textId="77777777" w:rsidR="002657A1" w:rsidRPr="00F66C11" w:rsidRDefault="002657A1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5DDFFB7F" w14:textId="733FC18F" w:rsidR="002657A1" w:rsidRPr="00F66C11" w:rsidRDefault="00C922EA" w:rsidP="002657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inti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4C0305E" w14:textId="0A225A6E" w:rsidR="002657A1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E1251" w:rsidRPr="00F66C11" w14:paraId="36178753" w14:textId="77777777" w:rsidTr="00F66C11">
        <w:tc>
          <w:tcPr>
            <w:tcW w:w="1134" w:type="dxa"/>
            <w:vAlign w:val="center"/>
          </w:tcPr>
          <w:p w14:paraId="357F87BF" w14:textId="160DBB22" w:rsidR="00EE1251" w:rsidRPr="00F66C11" w:rsidRDefault="00EE1251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</w:t>
            </w:r>
            <w:r w:rsidR="00C922EA" w:rsidRPr="00F66C11">
              <w:rPr>
                <w:rFonts w:ascii="Arial" w:hAnsi="Arial" w:cs="Arial"/>
                <w:sz w:val="20"/>
                <w:szCs w:val="20"/>
              </w:rPr>
              <w:t>1</w:t>
            </w:r>
            <w:r w:rsidRPr="00F66C11">
              <w:rPr>
                <w:rFonts w:ascii="Arial" w:hAnsi="Arial" w:cs="Arial"/>
                <w:sz w:val="20"/>
                <w:szCs w:val="20"/>
              </w:rPr>
              <w:t>,</w:t>
            </w:r>
            <w:r w:rsidR="00C922EA" w:rsidRPr="00F66C11">
              <w:rPr>
                <w:rFonts w:ascii="Arial" w:hAnsi="Arial" w:cs="Arial"/>
                <w:sz w:val="20"/>
                <w:szCs w:val="20"/>
              </w:rPr>
              <w:t>12,</w:t>
            </w:r>
            <w:r w:rsidRPr="00F66C11">
              <w:rPr>
                <w:rFonts w:ascii="Arial" w:hAnsi="Arial" w:cs="Arial"/>
                <w:sz w:val="20"/>
                <w:szCs w:val="20"/>
              </w:rPr>
              <w:t>1</w:t>
            </w:r>
            <w:r w:rsidR="00C922EA" w:rsidRPr="00F66C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7887820D" w14:textId="2F439541" w:rsidR="00EE1251" w:rsidRPr="00F66C11" w:rsidRDefault="0020107E" w:rsidP="00EE1251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Konglomerasi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Media di Indonesia</w:t>
            </w:r>
            <w:r w:rsidR="00784B93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251" w:rsidRPr="00F66C11">
              <w:rPr>
                <w:rFonts w:ascii="Arial" w:hAnsi="Arial" w:cs="Arial"/>
                <w:sz w:val="20"/>
                <w:szCs w:val="20"/>
              </w:rPr>
              <w:t>(Sub-CPMK 6)</w:t>
            </w:r>
          </w:p>
        </w:tc>
        <w:tc>
          <w:tcPr>
            <w:tcW w:w="3685" w:type="dxa"/>
            <w:vAlign w:val="center"/>
          </w:tcPr>
          <w:p w14:paraId="76DC2421" w14:textId="0A5E68B2" w:rsidR="0020107E" w:rsidRDefault="0020107E" w:rsidP="00EE1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Konglomerasi Media serta Kebijakan Media di Indonesia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951A7F" w14:textId="521E173A" w:rsidR="00EE1251" w:rsidRPr="0020107E" w:rsidRDefault="0020107E" w:rsidP="002010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engevaluasi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Konglomerasi Media serta Kebijakan Media di Indonesia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02631A8" w14:textId="78521567" w:rsidR="00EE1251" w:rsidRPr="00F66C11" w:rsidRDefault="00E827E8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44BEAB9" w14:textId="39B0939F" w:rsidR="00EE1251" w:rsidRPr="00F66C11" w:rsidRDefault="00571AC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F44E9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701" w:type="dxa"/>
            <w:vAlign w:val="center"/>
          </w:tcPr>
          <w:p w14:paraId="4F78A7B4" w14:textId="07DC8DD3" w:rsidR="00EE1251" w:rsidRPr="00F66C1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62C67ED4" w14:textId="7E1842E1" w:rsidR="00EE1251" w:rsidRPr="00F66C11" w:rsidRDefault="00C922EA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riset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regulasi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penyiaran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73FC6E11" w14:textId="40EB798F" w:rsidR="00EE1251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E1251" w:rsidRPr="00F66C11" w14:paraId="6FDC40AF" w14:textId="77777777" w:rsidTr="00F66C11">
        <w:tc>
          <w:tcPr>
            <w:tcW w:w="1134" w:type="dxa"/>
            <w:vAlign w:val="center"/>
          </w:tcPr>
          <w:p w14:paraId="06C866EA" w14:textId="2695B59F" w:rsidR="00EE1251" w:rsidRPr="00F66C11" w:rsidRDefault="00C922EA" w:rsidP="00F66C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14,</w:t>
            </w:r>
            <w:r w:rsidR="00EE1251"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14:paraId="5120DE9F" w14:textId="238D0AB6" w:rsidR="00EE1251" w:rsidRPr="00F66C11" w:rsidRDefault="0020107E" w:rsidP="002010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Dinamika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Industri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Media di Indonesia</w:t>
            </w:r>
            <w:r w:rsidR="00EE1251" w:rsidRPr="00F66C11">
              <w:rPr>
                <w:rFonts w:ascii="Arial" w:hAnsi="Arial" w:cs="Arial"/>
                <w:sz w:val="20"/>
                <w:szCs w:val="20"/>
              </w:rPr>
              <w:t xml:space="preserve"> (Sub-CPMK 7)</w:t>
            </w:r>
          </w:p>
        </w:tc>
        <w:tc>
          <w:tcPr>
            <w:tcW w:w="3685" w:type="dxa"/>
            <w:vAlign w:val="center"/>
          </w:tcPr>
          <w:p w14:paraId="5FFC0FE7" w14:textId="2FFA6777" w:rsidR="0020107E" w:rsidRDefault="0020107E" w:rsidP="00784B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Dinamika Industri Media di Indonesia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095BC4" w14:textId="63A74F4C" w:rsidR="00EE1251" w:rsidRPr="0020107E" w:rsidRDefault="0020107E" w:rsidP="002010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proofErr w:type="spellStart"/>
            <w:r w:rsidRPr="0020107E">
              <w:rPr>
                <w:rFonts w:ascii="Arial" w:hAnsi="Arial" w:cs="Arial"/>
                <w:sz w:val="20"/>
                <w:szCs w:val="20"/>
              </w:rPr>
              <w:t>enganalisis</w:t>
            </w:r>
            <w:proofErr w:type="spellEnd"/>
            <w:r w:rsidRPr="0020107E">
              <w:rPr>
                <w:rFonts w:ascii="Arial" w:hAnsi="Arial" w:cs="Arial"/>
                <w:sz w:val="20"/>
                <w:szCs w:val="20"/>
              </w:rPr>
              <w:t xml:space="preserve"> dan mengevaluasi Dinamika Industri Media di Indonesia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B93" w:rsidRPr="002010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3125E86" w14:textId="6995F921" w:rsidR="00EE1251" w:rsidRPr="00F66C11" w:rsidRDefault="00E827E8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72C0F8F1" w14:textId="678AF00C" w:rsidR="00EE1251" w:rsidRPr="00F66C1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PjBL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1AC1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="00571A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F44E9">
              <w:rPr>
                <w:rFonts w:ascii="Arial" w:hAnsi="Arial" w:cs="Arial"/>
                <w:sz w:val="20"/>
                <w:szCs w:val="20"/>
              </w:rPr>
              <w:t>kinerja</w:t>
            </w:r>
            <w:proofErr w:type="spellEnd"/>
            <w:r w:rsidR="00571AC1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71AC1"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701" w:type="dxa"/>
            <w:vAlign w:val="center"/>
          </w:tcPr>
          <w:p w14:paraId="701B3394" w14:textId="73756EB8" w:rsidR="00EE1251" w:rsidRPr="00F66C11" w:rsidRDefault="00EE1251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5E96B99D" w14:textId="689B02C6" w:rsidR="00EE1251" w:rsidRPr="00F66C11" w:rsidRDefault="00C922EA" w:rsidP="00EE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konten media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siaran</w:t>
            </w:r>
            <w:proofErr w:type="spellEnd"/>
            <w:r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6C11">
              <w:rPr>
                <w:rFonts w:ascii="Arial" w:hAnsi="Arial" w:cs="Arial"/>
                <w:sz w:val="20"/>
                <w:szCs w:val="20"/>
              </w:rPr>
              <w:t>kontemporer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75B97D2" w14:textId="244ECF58" w:rsidR="00EE1251" w:rsidRPr="00F66C11" w:rsidRDefault="00DA58F1" w:rsidP="009F44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E1251" w:rsidRPr="00F66C11" w14:paraId="79A23C84" w14:textId="77777777" w:rsidTr="00F66C11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74D204" w14:textId="77777777" w:rsidR="00EE1251" w:rsidRPr="00F66C11" w:rsidRDefault="00EE1251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585" w:type="dxa"/>
            <w:gridSpan w:val="10"/>
            <w:shd w:val="clear" w:color="auto" w:fill="D9D9D9" w:themeFill="background1" w:themeFillShade="D9"/>
            <w:vAlign w:val="center"/>
          </w:tcPr>
          <w:p w14:paraId="1AA9A817" w14:textId="77777777" w:rsidR="00EE1251" w:rsidRPr="00F66C11" w:rsidRDefault="00EE1251" w:rsidP="00EE125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66C11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</w:tbl>
    <w:p w14:paraId="630E5887" w14:textId="77777777" w:rsidR="0000399E" w:rsidRDefault="0000399E" w:rsidP="00DC1632">
      <w:pPr>
        <w:spacing w:line="276" w:lineRule="auto"/>
      </w:pPr>
    </w:p>
    <w:p w14:paraId="6424AD59" w14:textId="7FB2A421" w:rsidR="003A5B57" w:rsidRDefault="003A5B57" w:rsidP="003A5B57">
      <w:pPr>
        <w:rPr>
          <w:b/>
          <w:bCs/>
        </w:rPr>
      </w:pPr>
      <w:proofErr w:type="spellStart"/>
      <w:r w:rsidRPr="00A316E8">
        <w:rPr>
          <w:b/>
          <w:bCs/>
        </w:rPr>
        <w:t>Rencana</w:t>
      </w:r>
      <w:proofErr w:type="spellEnd"/>
      <w:r w:rsidRPr="00A316E8">
        <w:rPr>
          <w:b/>
          <w:bCs/>
        </w:rPr>
        <w:t xml:space="preserve">, </w:t>
      </w:r>
      <w:proofErr w:type="spellStart"/>
      <w:r w:rsidRPr="00A316E8">
        <w:rPr>
          <w:b/>
          <w:bCs/>
        </w:rPr>
        <w:t>Distribusi</w:t>
      </w:r>
      <w:proofErr w:type="spellEnd"/>
      <w:r w:rsidRPr="00A316E8">
        <w:rPr>
          <w:b/>
          <w:bCs/>
        </w:rPr>
        <w:t xml:space="preserve">, dan </w:t>
      </w:r>
      <w:proofErr w:type="spellStart"/>
      <w:r w:rsidRPr="00A316E8">
        <w:rPr>
          <w:b/>
          <w:bCs/>
        </w:rPr>
        <w:t>Persentase</w:t>
      </w:r>
      <w:proofErr w:type="spellEnd"/>
      <w:r w:rsidRPr="00A316E8">
        <w:rPr>
          <w:b/>
          <w:bCs/>
        </w:rPr>
        <w:t xml:space="preserve"> </w:t>
      </w:r>
      <w:proofErr w:type="spellStart"/>
      <w:r w:rsidRPr="00A316E8">
        <w:rPr>
          <w:b/>
          <w:bCs/>
        </w:rPr>
        <w:t>Penilaian</w:t>
      </w:r>
      <w:proofErr w:type="spellEnd"/>
      <w:r w:rsidRPr="00A316E8">
        <w:rPr>
          <w:b/>
          <w:bCs/>
        </w:rPr>
        <w:t xml:space="preserve"> MK </w:t>
      </w:r>
      <w:r w:rsidR="00DA58F1">
        <w:rPr>
          <w:b/>
          <w:bCs/>
        </w:rPr>
        <w:t>Dasar-</w:t>
      </w:r>
      <w:proofErr w:type="spellStart"/>
      <w:r w:rsidR="00DA58F1">
        <w:rPr>
          <w:b/>
          <w:bCs/>
        </w:rPr>
        <w:t>dasar</w:t>
      </w:r>
      <w:proofErr w:type="spellEnd"/>
      <w:r w:rsidR="00DA58F1">
        <w:rPr>
          <w:b/>
          <w:bCs/>
        </w:rPr>
        <w:t xml:space="preserve"> </w:t>
      </w:r>
      <w:proofErr w:type="spellStart"/>
      <w:r w:rsidR="00DA58F1">
        <w:rPr>
          <w:b/>
          <w:bCs/>
        </w:rPr>
        <w:t>Fotografi</w:t>
      </w:r>
      <w:proofErr w:type="spellEnd"/>
    </w:p>
    <w:tbl>
      <w:tblPr>
        <w:tblW w:w="13173" w:type="dxa"/>
        <w:tblLook w:val="04A0" w:firstRow="1" w:lastRow="0" w:firstColumn="1" w:lastColumn="0" w:noHBand="0" w:noVBand="1"/>
      </w:tblPr>
      <w:tblGrid>
        <w:gridCol w:w="2960"/>
        <w:gridCol w:w="1566"/>
        <w:gridCol w:w="1225"/>
        <w:gridCol w:w="1610"/>
        <w:gridCol w:w="1610"/>
        <w:gridCol w:w="1451"/>
        <w:gridCol w:w="2751"/>
      </w:tblGrid>
      <w:tr w:rsidR="00E827E8" w14:paraId="216A1FAB" w14:textId="77777777" w:rsidTr="00E827E8">
        <w:trPr>
          <w:trHeight w:val="399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4FD3" w14:textId="77777777" w:rsidR="00E827E8" w:rsidRDefault="00E827E8" w:rsidP="00E827E8">
            <w:r>
              <w:rPr>
                <w:lang w:eastAsia="en-ID"/>
              </w:rPr>
              <w:t>Sub-CPMK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4544" w14:textId="77777777" w:rsidR="00E827E8" w:rsidRDefault="00E827E8" w:rsidP="00E827E8">
            <w:r>
              <w:rPr>
                <w:lang w:eastAsia="en-ID"/>
              </w:rPr>
              <w:t>UTS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42609" w14:textId="77777777" w:rsidR="00E827E8" w:rsidRDefault="00E827E8" w:rsidP="00E827E8">
            <w:r>
              <w:rPr>
                <w:lang w:eastAsia="en-ID"/>
              </w:rPr>
              <w:t>UAS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3E311" w14:textId="77777777" w:rsidR="00E827E8" w:rsidRDefault="00E827E8" w:rsidP="00E827E8">
            <w:proofErr w:type="spellStart"/>
            <w:r>
              <w:rPr>
                <w:lang w:eastAsia="en-ID"/>
              </w:rPr>
              <w:t>Laporan</w:t>
            </w:r>
            <w:proofErr w:type="spellEnd"/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B4B5" w14:textId="77777777" w:rsidR="00E827E8" w:rsidRDefault="00E827E8" w:rsidP="00E827E8">
            <w:proofErr w:type="spellStart"/>
            <w:r>
              <w:rPr>
                <w:lang w:eastAsia="en-ID"/>
              </w:rPr>
              <w:t>Keaktifan</w:t>
            </w:r>
            <w:proofErr w:type="spellEnd"/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39B3" w14:textId="77777777" w:rsidR="00E827E8" w:rsidRDefault="00E827E8" w:rsidP="00E827E8">
            <w:proofErr w:type="spellStart"/>
            <w:r>
              <w:rPr>
                <w:lang w:eastAsia="en-ID"/>
              </w:rPr>
              <w:t>Sikap</w:t>
            </w:r>
            <w:proofErr w:type="spellEnd"/>
          </w:p>
        </w:tc>
        <w:tc>
          <w:tcPr>
            <w:tcW w:w="2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97FD7" w14:textId="77777777" w:rsidR="00E827E8" w:rsidRDefault="00E827E8" w:rsidP="00E827E8">
            <w:proofErr w:type="spellStart"/>
            <w:r>
              <w:rPr>
                <w:lang w:eastAsia="en-ID"/>
              </w:rPr>
              <w:t>Persentase</w:t>
            </w:r>
            <w:proofErr w:type="spellEnd"/>
            <w:r>
              <w:rPr>
                <w:lang w:eastAsia="en-ID"/>
              </w:rPr>
              <w:t xml:space="preserve"> </w:t>
            </w:r>
            <w:proofErr w:type="spellStart"/>
            <w:r>
              <w:rPr>
                <w:lang w:eastAsia="en-ID"/>
              </w:rPr>
              <w:t>Penilaian</w:t>
            </w:r>
            <w:proofErr w:type="spellEnd"/>
          </w:p>
        </w:tc>
      </w:tr>
      <w:tr w:rsidR="00E827E8" w14:paraId="5777C187" w14:textId="77777777" w:rsidTr="00E827E8">
        <w:trPr>
          <w:trHeight w:val="121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D9E50" w14:textId="77777777" w:rsidR="00E827E8" w:rsidRDefault="00E827E8" w:rsidP="00E827E8">
            <w:r>
              <w:rPr>
                <w:lang w:eastAsia="en-ID"/>
              </w:rPr>
              <w:t>Sub-CPMK 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F66EF" w14:textId="77777777" w:rsidR="00E827E8" w:rsidRDefault="00E827E8" w:rsidP="00E827E8">
            <w:r>
              <w:rPr>
                <w:lang w:eastAsia="en-ID"/>
              </w:rPr>
              <w:t>5%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CD30A" w14:textId="77777777" w:rsidR="00E827E8" w:rsidRDefault="00E827E8" w:rsidP="00E827E8">
            <w:r>
              <w:rPr>
                <w:lang w:eastAsia="en-ID"/>
              </w:rPr>
              <w:t> 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8F5E8" w14:textId="77777777" w:rsidR="00E827E8" w:rsidRDefault="00E827E8" w:rsidP="00E827E8">
            <w:r>
              <w:rPr>
                <w:lang w:eastAsia="en-ID"/>
              </w:rPr>
              <w:t>4,00%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EA5DD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EE4A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9960" w14:textId="77777777" w:rsidR="00E827E8" w:rsidRDefault="00E827E8" w:rsidP="00E827E8">
            <w:r>
              <w:rPr>
                <w:lang w:eastAsia="en-ID"/>
              </w:rPr>
              <w:t>13%</w:t>
            </w:r>
          </w:p>
        </w:tc>
      </w:tr>
      <w:tr w:rsidR="00E827E8" w14:paraId="0C952C30" w14:textId="77777777" w:rsidTr="00E827E8">
        <w:trPr>
          <w:trHeight w:val="6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84717" w14:textId="77777777" w:rsidR="00E827E8" w:rsidRDefault="00E827E8" w:rsidP="00E827E8">
            <w:r>
              <w:rPr>
                <w:lang w:eastAsia="en-ID"/>
              </w:rPr>
              <w:t>Sub-CPMK 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BF82C" w14:textId="77777777" w:rsidR="00E827E8" w:rsidRDefault="00E827E8" w:rsidP="00E827E8">
            <w:r>
              <w:rPr>
                <w:lang w:eastAsia="en-ID"/>
              </w:rPr>
              <w:t>5%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CA060" w14:textId="77777777" w:rsidR="00E827E8" w:rsidRDefault="00E827E8" w:rsidP="00E827E8">
            <w:r>
              <w:rPr>
                <w:lang w:eastAsia="en-ID"/>
              </w:rPr>
              <w:t> 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16E65" w14:textId="77777777" w:rsidR="00E827E8" w:rsidRDefault="00E827E8" w:rsidP="00E827E8">
            <w:r>
              <w:rPr>
                <w:lang w:eastAsia="en-ID"/>
              </w:rPr>
              <w:t>4,00%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50BA2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C11C0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1F307" w14:textId="77777777" w:rsidR="00E827E8" w:rsidRDefault="00E827E8" w:rsidP="00E827E8">
            <w:r>
              <w:rPr>
                <w:lang w:eastAsia="en-ID"/>
              </w:rPr>
              <w:t>13%</w:t>
            </w:r>
          </w:p>
        </w:tc>
      </w:tr>
      <w:tr w:rsidR="00E827E8" w14:paraId="58B6F27E" w14:textId="77777777" w:rsidTr="00E827E8">
        <w:trPr>
          <w:trHeight w:val="161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CDC58" w14:textId="77777777" w:rsidR="00E827E8" w:rsidRDefault="00E827E8" w:rsidP="00E827E8">
            <w:r>
              <w:rPr>
                <w:lang w:eastAsia="en-ID"/>
              </w:rPr>
              <w:t>Sub-CPMK 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EA92" w14:textId="77777777" w:rsidR="00E827E8" w:rsidRDefault="00E827E8" w:rsidP="00E827E8">
            <w:r>
              <w:rPr>
                <w:lang w:eastAsia="en-ID"/>
              </w:rPr>
              <w:t>5%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AB45" w14:textId="77777777" w:rsidR="00E827E8" w:rsidRDefault="00E827E8" w:rsidP="00E827E8">
            <w:r>
              <w:rPr>
                <w:lang w:eastAsia="en-ID"/>
              </w:rPr>
              <w:t> 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53CE" w14:textId="77777777" w:rsidR="00E827E8" w:rsidRDefault="00E827E8" w:rsidP="00E827E8">
            <w:r>
              <w:rPr>
                <w:lang w:eastAsia="en-ID"/>
              </w:rPr>
              <w:t>4,00%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C24E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F438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BF92" w14:textId="77777777" w:rsidR="00E827E8" w:rsidRDefault="00E827E8" w:rsidP="00E827E8">
            <w:r>
              <w:rPr>
                <w:lang w:eastAsia="en-ID"/>
              </w:rPr>
              <w:t>13%</w:t>
            </w:r>
          </w:p>
        </w:tc>
      </w:tr>
      <w:tr w:rsidR="00E827E8" w14:paraId="5D67237B" w14:textId="77777777" w:rsidTr="00E827E8">
        <w:trPr>
          <w:trHeight w:val="6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1BD49" w14:textId="77777777" w:rsidR="00E827E8" w:rsidRDefault="00E827E8" w:rsidP="00E827E8">
            <w:r>
              <w:rPr>
                <w:lang w:eastAsia="en-ID"/>
              </w:rPr>
              <w:t>Sub-CPMK 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A0D6" w14:textId="77777777" w:rsidR="00E827E8" w:rsidRDefault="00E827E8" w:rsidP="00E827E8">
            <w:r>
              <w:rPr>
                <w:lang w:eastAsia="en-ID"/>
              </w:rPr>
              <w:t>5%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33BE" w14:textId="77777777" w:rsidR="00E827E8" w:rsidRDefault="00E827E8" w:rsidP="00E827E8">
            <w:r>
              <w:rPr>
                <w:lang w:eastAsia="en-ID"/>
              </w:rPr>
              <w:t> 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7DF90" w14:textId="77777777" w:rsidR="00E827E8" w:rsidRDefault="00E827E8" w:rsidP="00E827E8">
            <w:r>
              <w:rPr>
                <w:lang w:eastAsia="en-ID"/>
              </w:rPr>
              <w:t>5,00%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3B22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13417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0B51" w14:textId="77777777" w:rsidR="00E827E8" w:rsidRDefault="00E827E8" w:rsidP="00E827E8">
            <w:r>
              <w:rPr>
                <w:lang w:eastAsia="en-ID"/>
              </w:rPr>
              <w:t>14%</w:t>
            </w:r>
          </w:p>
        </w:tc>
      </w:tr>
      <w:tr w:rsidR="00E827E8" w14:paraId="2BE75F73" w14:textId="77777777" w:rsidTr="00E827E8">
        <w:trPr>
          <w:trHeight w:val="10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8FEB2" w14:textId="77777777" w:rsidR="00E827E8" w:rsidRDefault="00E827E8" w:rsidP="00E827E8">
            <w:r>
              <w:rPr>
                <w:lang w:eastAsia="en-ID"/>
              </w:rPr>
              <w:t>Sub-CPMK 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FEAC6" w14:textId="77777777" w:rsidR="00E827E8" w:rsidRDefault="00E827E8" w:rsidP="00E827E8">
            <w:r>
              <w:rPr>
                <w:lang w:eastAsia="en-ID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E8E49" w14:textId="77777777" w:rsidR="00E827E8" w:rsidRDefault="00E827E8" w:rsidP="00E827E8">
            <w:r>
              <w:rPr>
                <w:lang w:eastAsia="en-ID"/>
              </w:rPr>
              <w:t>5%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76FC" w14:textId="77777777" w:rsidR="00E827E8" w:rsidRDefault="00E827E8" w:rsidP="00E827E8">
            <w:r>
              <w:rPr>
                <w:lang w:eastAsia="en-ID"/>
              </w:rPr>
              <w:t>5,00%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941C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8EBF6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10486" w14:textId="77777777" w:rsidR="00E827E8" w:rsidRDefault="00E827E8" w:rsidP="00E827E8">
            <w:r>
              <w:rPr>
                <w:lang w:eastAsia="en-ID"/>
              </w:rPr>
              <w:t>14%</w:t>
            </w:r>
          </w:p>
        </w:tc>
      </w:tr>
      <w:tr w:rsidR="00E827E8" w14:paraId="3A0C245C" w14:textId="77777777" w:rsidTr="00E827E8">
        <w:trPr>
          <w:trHeight w:val="6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57F4A" w14:textId="77777777" w:rsidR="00E827E8" w:rsidRDefault="00E827E8" w:rsidP="00E827E8">
            <w:r>
              <w:rPr>
                <w:lang w:eastAsia="en-ID"/>
              </w:rPr>
              <w:t>Sub-CPMK 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22C9" w14:textId="77777777" w:rsidR="00E827E8" w:rsidRDefault="00E827E8" w:rsidP="00E827E8">
            <w:r>
              <w:rPr>
                <w:lang w:eastAsia="en-ID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037E2" w14:textId="77777777" w:rsidR="00E827E8" w:rsidRDefault="00E827E8" w:rsidP="00E827E8">
            <w:r>
              <w:rPr>
                <w:lang w:eastAsia="en-ID"/>
              </w:rPr>
              <w:t>5%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CC228" w14:textId="77777777" w:rsidR="00E827E8" w:rsidRDefault="00E827E8" w:rsidP="00E827E8">
            <w:r>
              <w:rPr>
                <w:lang w:eastAsia="en-ID"/>
              </w:rPr>
              <w:t>5,00%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1EF9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DF0E6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9B78" w14:textId="77777777" w:rsidR="00E827E8" w:rsidRDefault="00E827E8" w:rsidP="00E827E8">
            <w:r>
              <w:rPr>
                <w:lang w:eastAsia="en-ID"/>
              </w:rPr>
              <w:t>14%</w:t>
            </w:r>
          </w:p>
        </w:tc>
      </w:tr>
      <w:tr w:rsidR="00E827E8" w14:paraId="31A57070" w14:textId="77777777" w:rsidTr="00E827E8">
        <w:trPr>
          <w:trHeight w:val="77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A81F" w14:textId="77777777" w:rsidR="00E827E8" w:rsidRDefault="00E827E8" w:rsidP="00E827E8">
            <w:r>
              <w:rPr>
                <w:lang w:eastAsia="en-ID"/>
              </w:rPr>
              <w:t>Sub-CPMK 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DB123" w14:textId="77777777" w:rsidR="00E827E8" w:rsidRDefault="00E827E8" w:rsidP="00E827E8">
            <w:r>
              <w:rPr>
                <w:lang w:eastAsia="en-ID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5991" w14:textId="77777777" w:rsidR="00E827E8" w:rsidRDefault="00E827E8" w:rsidP="00E827E8">
            <w:r>
              <w:rPr>
                <w:lang w:eastAsia="en-ID"/>
              </w:rPr>
              <w:t>10%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5DEF4" w14:textId="77777777" w:rsidR="00E827E8" w:rsidRDefault="00E827E8" w:rsidP="00E827E8">
            <w:r>
              <w:rPr>
                <w:lang w:eastAsia="en-ID"/>
              </w:rPr>
              <w:t>5,00%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6F0DC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306EF" w14:textId="77777777" w:rsidR="00E827E8" w:rsidRDefault="00E827E8" w:rsidP="00E827E8">
            <w:r>
              <w:rPr>
                <w:lang w:eastAsia="en-ID"/>
              </w:rPr>
              <w:t>2,00%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DBE97" w14:textId="77777777" w:rsidR="00E827E8" w:rsidRDefault="00E827E8" w:rsidP="00E827E8">
            <w:r>
              <w:rPr>
                <w:lang w:eastAsia="en-ID"/>
              </w:rPr>
              <w:t>19%</w:t>
            </w:r>
          </w:p>
        </w:tc>
      </w:tr>
      <w:tr w:rsidR="00E827E8" w14:paraId="70DA1A3D" w14:textId="77777777" w:rsidTr="00E827E8">
        <w:trPr>
          <w:trHeight w:val="277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73A67" w14:textId="77777777" w:rsidR="00E827E8" w:rsidRDefault="00E827E8" w:rsidP="00E827E8">
            <w:proofErr w:type="spellStart"/>
            <w:r>
              <w:rPr>
                <w:lang w:eastAsia="en-ID"/>
              </w:rPr>
              <w:t>Persentase</w:t>
            </w:r>
            <w:proofErr w:type="spellEnd"/>
            <w:r>
              <w:rPr>
                <w:lang w:eastAsia="en-ID"/>
              </w:rPr>
              <w:t xml:space="preserve"> </w:t>
            </w:r>
            <w:proofErr w:type="spellStart"/>
            <w:r>
              <w:rPr>
                <w:lang w:eastAsia="en-ID"/>
              </w:rPr>
              <w:t>Penilaian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8405D" w14:textId="77777777" w:rsidR="00E827E8" w:rsidRDefault="00E827E8" w:rsidP="00E827E8">
            <w:r>
              <w:rPr>
                <w:lang w:eastAsia="en-ID"/>
              </w:rPr>
              <w:t>20%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9D314" w14:textId="77777777" w:rsidR="00E827E8" w:rsidRDefault="00E827E8" w:rsidP="00E827E8">
            <w:r>
              <w:rPr>
                <w:lang w:eastAsia="en-ID"/>
              </w:rPr>
              <w:t>20%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36EF2" w14:textId="77777777" w:rsidR="00E827E8" w:rsidRDefault="00E827E8" w:rsidP="00E827E8">
            <w:r>
              <w:rPr>
                <w:lang w:eastAsia="en-ID"/>
              </w:rPr>
              <w:t>32%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1B19" w14:textId="77777777" w:rsidR="00E827E8" w:rsidRDefault="00E827E8" w:rsidP="00E827E8">
            <w:r>
              <w:rPr>
                <w:lang w:eastAsia="en-ID"/>
              </w:rPr>
              <w:t>14%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0581C" w14:textId="77777777" w:rsidR="00E827E8" w:rsidRDefault="00E827E8" w:rsidP="00E827E8">
            <w:r>
              <w:rPr>
                <w:lang w:eastAsia="en-ID"/>
              </w:rPr>
              <w:t>14%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115B2" w14:textId="77777777" w:rsidR="00E827E8" w:rsidRDefault="00E827E8" w:rsidP="00E827E8">
            <w:r>
              <w:rPr>
                <w:lang w:eastAsia="en-ID"/>
              </w:rPr>
              <w:t>100%</w:t>
            </w:r>
          </w:p>
        </w:tc>
      </w:tr>
    </w:tbl>
    <w:p w14:paraId="07CD3688" w14:textId="77777777" w:rsidR="00E827E8" w:rsidRPr="00A316E8" w:rsidRDefault="00E827E8" w:rsidP="003A5B57">
      <w:pPr>
        <w:rPr>
          <w:b/>
          <w:bCs/>
        </w:rPr>
      </w:pPr>
    </w:p>
    <w:p w14:paraId="5AD4DCD5" w14:textId="6E4CCB93" w:rsidR="00F82884" w:rsidRDefault="00F82884" w:rsidP="00DC1632">
      <w:pPr>
        <w:spacing w:line="276" w:lineRule="auto"/>
      </w:pPr>
    </w:p>
    <w:p w14:paraId="132ABEBE" w14:textId="77777777" w:rsidR="00263912" w:rsidRDefault="00263912" w:rsidP="00DC1632">
      <w:pPr>
        <w:spacing w:line="276" w:lineRule="auto"/>
      </w:pPr>
    </w:p>
    <w:p w14:paraId="3328B03F" w14:textId="56559550" w:rsidR="00F82884" w:rsidRDefault="00F82884" w:rsidP="00F82884">
      <w:pPr>
        <w:spacing w:line="276" w:lineRule="auto"/>
        <w:ind w:left="12616"/>
      </w:pPr>
      <w:r>
        <w:t xml:space="preserve">Bogor, </w:t>
      </w:r>
      <w:proofErr w:type="spellStart"/>
      <w:r w:rsidR="009210D6">
        <w:t>Juli</w:t>
      </w:r>
      <w:proofErr w:type="spellEnd"/>
      <w:r w:rsidR="00BC65A7">
        <w:t xml:space="preserve"> 202</w:t>
      </w:r>
      <w:r w:rsidR="009210D6">
        <w:t>3</w:t>
      </w:r>
    </w:p>
    <w:p w14:paraId="3AFE24B3" w14:textId="3071D38A" w:rsidR="00F82884" w:rsidRDefault="009210D6" w:rsidP="00F82884">
      <w:pPr>
        <w:spacing w:line="276" w:lineRule="auto"/>
        <w:ind w:left="12616"/>
      </w:pPr>
      <w:proofErr w:type="spellStart"/>
      <w:r>
        <w:t>Dosen</w:t>
      </w:r>
      <w:proofErr w:type="spellEnd"/>
      <w:r>
        <w:t xml:space="preserve"> </w:t>
      </w:r>
    </w:p>
    <w:p w14:paraId="26B45F0F" w14:textId="77777777" w:rsidR="00F82884" w:rsidRDefault="00F82884" w:rsidP="00E827E8">
      <w:pPr>
        <w:spacing w:line="276" w:lineRule="auto"/>
      </w:pPr>
    </w:p>
    <w:p w14:paraId="70AF959E" w14:textId="77777777" w:rsidR="00F82884" w:rsidRDefault="00F82884" w:rsidP="00F82884">
      <w:pPr>
        <w:spacing w:line="276" w:lineRule="auto"/>
      </w:pPr>
    </w:p>
    <w:p w14:paraId="77308D86" w14:textId="3FC357B5" w:rsidR="00BC65A7" w:rsidRPr="00DC1632" w:rsidRDefault="009210D6" w:rsidP="00E827E8">
      <w:pPr>
        <w:spacing w:line="276" w:lineRule="auto"/>
        <w:ind w:left="12616"/>
      </w:pPr>
      <w:proofErr w:type="spellStart"/>
      <w:r>
        <w:t>Ahsani</w:t>
      </w:r>
      <w:proofErr w:type="spellEnd"/>
      <w:r>
        <w:t xml:space="preserve"> </w:t>
      </w:r>
      <w:proofErr w:type="spellStart"/>
      <w:r>
        <w:t>Taqwim</w:t>
      </w:r>
      <w:proofErr w:type="spellEnd"/>
      <w:r>
        <w:t xml:space="preserve"> </w:t>
      </w:r>
      <w:proofErr w:type="spellStart"/>
      <w:r>
        <w:t>Aminuddin</w:t>
      </w:r>
      <w:proofErr w:type="spellEnd"/>
      <w:r>
        <w:t xml:space="preserve">, </w:t>
      </w:r>
      <w:proofErr w:type="spellStart"/>
      <w:r>
        <w:t>M.I.Ko</w:t>
      </w:r>
      <w:r w:rsidR="00E827E8">
        <w:t>m</w:t>
      </w:r>
      <w:proofErr w:type="spellEnd"/>
    </w:p>
    <w:sectPr w:rsidR="00BC65A7" w:rsidRPr="00DC1632" w:rsidSect="004D0966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2B1"/>
    <w:multiLevelType w:val="hybridMultilevel"/>
    <w:tmpl w:val="D54A3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209D"/>
    <w:multiLevelType w:val="hybridMultilevel"/>
    <w:tmpl w:val="E0085666"/>
    <w:lvl w:ilvl="0" w:tplc="227C6206">
      <w:start w:val="8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5E5419"/>
    <w:multiLevelType w:val="hybridMultilevel"/>
    <w:tmpl w:val="4F1C65BE"/>
    <w:lvl w:ilvl="0" w:tplc="3D0C5E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9A50AA"/>
    <w:multiLevelType w:val="hybridMultilevel"/>
    <w:tmpl w:val="E758DD8E"/>
    <w:lvl w:ilvl="0" w:tplc="980ED06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000B"/>
    <w:multiLevelType w:val="hybridMultilevel"/>
    <w:tmpl w:val="75D637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E08E2"/>
    <w:multiLevelType w:val="hybridMultilevel"/>
    <w:tmpl w:val="B9C06F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685D"/>
    <w:multiLevelType w:val="hybridMultilevel"/>
    <w:tmpl w:val="FAD4630A"/>
    <w:lvl w:ilvl="0" w:tplc="E0663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0CCA"/>
    <w:multiLevelType w:val="hybridMultilevel"/>
    <w:tmpl w:val="AF12C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261D7"/>
    <w:multiLevelType w:val="hybridMultilevel"/>
    <w:tmpl w:val="C08EB1A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826BE"/>
    <w:multiLevelType w:val="hybridMultilevel"/>
    <w:tmpl w:val="DF9034C8"/>
    <w:lvl w:ilvl="0" w:tplc="6436F8E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34F41B7"/>
    <w:multiLevelType w:val="hybridMultilevel"/>
    <w:tmpl w:val="D9C4B226"/>
    <w:lvl w:ilvl="0" w:tplc="281623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36129"/>
    <w:multiLevelType w:val="hybridMultilevel"/>
    <w:tmpl w:val="02B40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D5B69"/>
    <w:multiLevelType w:val="hybridMultilevel"/>
    <w:tmpl w:val="F368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46B7"/>
    <w:multiLevelType w:val="hybridMultilevel"/>
    <w:tmpl w:val="75D63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6A3D95"/>
    <w:multiLevelType w:val="hybridMultilevel"/>
    <w:tmpl w:val="7FD4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22D48"/>
    <w:multiLevelType w:val="hybridMultilevel"/>
    <w:tmpl w:val="B196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4F34"/>
    <w:multiLevelType w:val="hybridMultilevel"/>
    <w:tmpl w:val="748E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49203">
    <w:abstractNumId w:val="17"/>
  </w:num>
  <w:num w:numId="2" w16cid:durableId="2050572112">
    <w:abstractNumId w:val="8"/>
  </w:num>
  <w:num w:numId="3" w16cid:durableId="1217081702">
    <w:abstractNumId w:val="14"/>
  </w:num>
  <w:num w:numId="4" w16cid:durableId="467288319">
    <w:abstractNumId w:val="10"/>
  </w:num>
  <w:num w:numId="5" w16cid:durableId="1025054279">
    <w:abstractNumId w:val="2"/>
  </w:num>
  <w:num w:numId="6" w16cid:durableId="395589836">
    <w:abstractNumId w:val="9"/>
  </w:num>
  <w:num w:numId="7" w16cid:durableId="321811747">
    <w:abstractNumId w:val="6"/>
  </w:num>
  <w:num w:numId="8" w16cid:durableId="1796633182">
    <w:abstractNumId w:val="16"/>
  </w:num>
  <w:num w:numId="9" w16cid:durableId="132718206">
    <w:abstractNumId w:val="12"/>
  </w:num>
  <w:num w:numId="10" w16cid:durableId="237521801">
    <w:abstractNumId w:val="1"/>
  </w:num>
  <w:num w:numId="11" w16cid:durableId="1453747014">
    <w:abstractNumId w:val="0"/>
  </w:num>
  <w:num w:numId="12" w16cid:durableId="897517851">
    <w:abstractNumId w:val="5"/>
  </w:num>
  <w:num w:numId="13" w16cid:durableId="2141722767">
    <w:abstractNumId w:val="3"/>
  </w:num>
  <w:num w:numId="14" w16cid:durableId="225386599">
    <w:abstractNumId w:val="11"/>
  </w:num>
  <w:num w:numId="15" w16cid:durableId="1322731616">
    <w:abstractNumId w:val="7"/>
  </w:num>
  <w:num w:numId="16" w16cid:durableId="1389065459">
    <w:abstractNumId w:val="15"/>
  </w:num>
  <w:num w:numId="17" w16cid:durableId="912007892">
    <w:abstractNumId w:val="13"/>
  </w:num>
  <w:num w:numId="18" w16cid:durableId="159246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31CF"/>
    <w:rsid w:val="0000399E"/>
    <w:rsid w:val="000137EB"/>
    <w:rsid w:val="000535CA"/>
    <w:rsid w:val="000801C3"/>
    <w:rsid w:val="000949EC"/>
    <w:rsid w:val="000D346F"/>
    <w:rsid w:val="0011340A"/>
    <w:rsid w:val="00114A89"/>
    <w:rsid w:val="0013575C"/>
    <w:rsid w:val="0020107E"/>
    <w:rsid w:val="002248D2"/>
    <w:rsid w:val="00263912"/>
    <w:rsid w:val="002657A1"/>
    <w:rsid w:val="00287A7B"/>
    <w:rsid w:val="002A5437"/>
    <w:rsid w:val="002C3835"/>
    <w:rsid w:val="00376111"/>
    <w:rsid w:val="003A1126"/>
    <w:rsid w:val="003A5B57"/>
    <w:rsid w:val="003B0707"/>
    <w:rsid w:val="003F0942"/>
    <w:rsid w:val="004030B7"/>
    <w:rsid w:val="004260CB"/>
    <w:rsid w:val="00432173"/>
    <w:rsid w:val="0045715C"/>
    <w:rsid w:val="004641DB"/>
    <w:rsid w:val="00476A70"/>
    <w:rsid w:val="004A6FE8"/>
    <w:rsid w:val="004B205F"/>
    <w:rsid w:val="004D0966"/>
    <w:rsid w:val="00512932"/>
    <w:rsid w:val="0054381A"/>
    <w:rsid w:val="0056527D"/>
    <w:rsid w:val="00571AC1"/>
    <w:rsid w:val="005C628F"/>
    <w:rsid w:val="00623C0C"/>
    <w:rsid w:val="00637575"/>
    <w:rsid w:val="0064089A"/>
    <w:rsid w:val="00644216"/>
    <w:rsid w:val="00644985"/>
    <w:rsid w:val="0067649D"/>
    <w:rsid w:val="00683E58"/>
    <w:rsid w:val="00692073"/>
    <w:rsid w:val="00692DCA"/>
    <w:rsid w:val="006B1577"/>
    <w:rsid w:val="00730070"/>
    <w:rsid w:val="00730635"/>
    <w:rsid w:val="00784B93"/>
    <w:rsid w:val="00791E44"/>
    <w:rsid w:val="007E6A35"/>
    <w:rsid w:val="008505C0"/>
    <w:rsid w:val="0088642A"/>
    <w:rsid w:val="008B6DB7"/>
    <w:rsid w:val="008E5E02"/>
    <w:rsid w:val="008F3B2C"/>
    <w:rsid w:val="008F505D"/>
    <w:rsid w:val="009210D6"/>
    <w:rsid w:val="009561C2"/>
    <w:rsid w:val="009C44FB"/>
    <w:rsid w:val="009F44E9"/>
    <w:rsid w:val="00A0744F"/>
    <w:rsid w:val="00A90C94"/>
    <w:rsid w:val="00B34509"/>
    <w:rsid w:val="00B3480F"/>
    <w:rsid w:val="00B52AA6"/>
    <w:rsid w:val="00B93549"/>
    <w:rsid w:val="00BB0E81"/>
    <w:rsid w:val="00BC65A7"/>
    <w:rsid w:val="00BE3E73"/>
    <w:rsid w:val="00BE7302"/>
    <w:rsid w:val="00C434A5"/>
    <w:rsid w:val="00C827F8"/>
    <w:rsid w:val="00C90A22"/>
    <w:rsid w:val="00C922EA"/>
    <w:rsid w:val="00C9406E"/>
    <w:rsid w:val="00D017A4"/>
    <w:rsid w:val="00D32048"/>
    <w:rsid w:val="00D80385"/>
    <w:rsid w:val="00D916BD"/>
    <w:rsid w:val="00DA58F1"/>
    <w:rsid w:val="00DC1632"/>
    <w:rsid w:val="00E3778C"/>
    <w:rsid w:val="00E827E8"/>
    <w:rsid w:val="00EB7134"/>
    <w:rsid w:val="00EE1251"/>
    <w:rsid w:val="00EF502E"/>
    <w:rsid w:val="00EF63F2"/>
    <w:rsid w:val="00F16020"/>
    <w:rsid w:val="00F66C11"/>
    <w:rsid w:val="00F82884"/>
    <w:rsid w:val="00F8755B"/>
    <w:rsid w:val="00F96BE6"/>
    <w:rsid w:val="00FA0702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FA3A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Ahsani Taqwim Aminuddin</cp:lastModifiedBy>
  <cp:revision>27</cp:revision>
  <dcterms:created xsi:type="dcterms:W3CDTF">2022-08-31T14:08:00Z</dcterms:created>
  <dcterms:modified xsi:type="dcterms:W3CDTF">2023-07-09T00:23:00Z</dcterms:modified>
</cp:coreProperties>
</file>