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950.0" w:type="dxa"/>
        <w:jc w:val="left"/>
        <w:tblLayout w:type="fixed"/>
        <w:tblLook w:val="0400"/>
      </w:tblPr>
      <w:tblGrid>
        <w:gridCol w:w="1938"/>
        <w:gridCol w:w="2056"/>
        <w:gridCol w:w="2254"/>
        <w:gridCol w:w="2086"/>
        <w:gridCol w:w="2266"/>
        <w:gridCol w:w="2350"/>
        <w:tblGridChange w:id="0">
          <w:tblGrid>
            <w:gridCol w:w="1938"/>
            <w:gridCol w:w="2056"/>
            <w:gridCol w:w="2254"/>
            <w:gridCol w:w="2086"/>
            <w:gridCol w:w="2266"/>
            <w:gridCol w:w="235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Pr>
              <w:drawing>
                <wp:inline distB="0" distT="0" distL="0" distR="0">
                  <wp:extent cx="806450" cy="806450"/>
                  <wp:effectExtent b="0" l="0" r="0" t="0"/>
                  <wp:docPr id="154649765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6450" cy="806450"/>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UNIVERSITAS PAKUAN</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FAKULTAS KEGURUAN DAN ILMU PENDIDIKAN</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PROGRAM STUDI PENDIDIKAN BAHASA INGGRIS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5b9bd5" w:val="clear"/>
            <w:tcMar>
              <w:top w:w="0.0" w:type="dxa"/>
              <w:left w:w="108.0" w:type="dxa"/>
              <w:bottom w:w="0.0" w:type="dxa"/>
              <w:right w:w="108.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RENCANA PEMBELAJARAN SEMESTER (RPS)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ind w:left="-99" w:right="-1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RUMPUN 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NO&amp;TGL DOK</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Public Speaking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Keahlian Prodi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OTORISASI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Pengembang RPS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Koordinator RMK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Ketua Prodi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Eka Suhardi, M.Si.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Tina Priyantin, M.Pd.</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 Hidayati, M.Pd.</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 Hidayati, M.Pd.</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(CP)</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CPL-PRODI yang dibebankan pada MK</w:t>
            </w:r>
            <w:r w:rsidDel="00000000" w:rsidR="00000000" w:rsidRPr="00000000">
              <w:rPr>
                <w:rtl w:val="0"/>
              </w:rPr>
            </w:r>
          </w:p>
        </w:tc>
      </w:tr>
      <w:tr>
        <w:trPr>
          <w:cantSplit w:val="0"/>
          <w:trHeight w:val="63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kepribadian yang berakhlak dan berintegritas melalui proses pembelajaran yang menghargai kebhinekaan Indonesia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teori, dan metode secara logis, kritis, sistematis, dan inovatif melalui proses pembelajaran yang menekankan etika akademis ilmiah.</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Lulusan mampu menunjukkan keterampilan menggunakan konsep dan teori Bahasa Inggris melalui proses pembelajaran ilmu kebahasaan, kesusastraan, dan pedagogi secara kritis dan reflektif.</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Capaian Pembelajaran Mata Kuliah (CPMK)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membuat kerangka pidato mengenai kebudayaan Indonesia melalui teknik Think Pair Share secara kolaboratif dan kritis</w:t>
            </w:r>
            <w:r w:rsidDel="00000000" w:rsidR="00000000" w:rsidRPr="00000000">
              <w:rPr>
                <w:rtl w:val="0"/>
              </w:rPr>
            </w:r>
          </w:p>
        </w:tc>
      </w:tr>
      <w:tr>
        <w:trPr>
          <w:cantSplit w:val="0"/>
          <w:trHeight w:val="33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Mahasiswa mampu menyusun naskah pidato yang beretika akademis melalui teknik Read to Write secara sistematis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mempresentasikan naskah pidato yang telah dibuat dengan memperhatikan teknik komunikasi public secara kritis dan percaya diri.</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(Sub-CMPK)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1</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pengertian Public Speaking serta manfaat nya dalam dunia multikultural secara kritis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Sub-CPMK 2</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mengenai etika komunikasi public secara nasional dan internasional dengan benar.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kerangka dan naskah komunikasi publik dalam presentasi ilmiah secara kritis dan sistematis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4</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mempresentasikan naskah komunikasi publik dalam presentasi ilmiah secara efektif dan sistematis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Sub-CPMK </w:t>
            </w:r>
            <w:r w:rsidDel="00000000" w:rsidR="00000000" w:rsidRPr="00000000">
              <w:rPr>
                <w:rFonts w:ascii="Times New Roman" w:cs="Times New Roman" w:eastAsia="Times New Roman" w:hAnsi="Times New Roman"/>
                <w:rtl w:val="0"/>
              </w:rPr>
              <w:t xml:space="preserve">5</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kerangka dan naskah komunikasi publik untuk presentasi ilmiah secara kritis dan sistematis</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Sub-CPMK 6</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mempresentasikan naskah komunikasi publik dalam sebuah pidato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Korelasi CPL terhadap CPMK</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CPMK 3</w:t>
            </w:r>
            <w:r w:rsidDel="00000000" w:rsidR="00000000" w:rsidRPr="00000000">
              <w:rPr>
                <w:rtl w:val="0"/>
              </w:rPr>
            </w:r>
          </w:p>
        </w:tc>
      </w:tr>
      <w:tr>
        <w:trPr>
          <w:cantSplit w:val="0"/>
          <w:trHeight w:val="22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r>
      <w:tr>
        <w:trPr>
          <w:cantSplit w:val="0"/>
          <w:trHeight w:val="35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CPL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40" w:lineRule="auto"/>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Deskripsi Singkat MK</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Mata kuliah </w:t>
            </w:r>
            <w:r w:rsidDel="00000000" w:rsidR="00000000" w:rsidRPr="00000000">
              <w:rPr>
                <w:rFonts w:ascii="Times New Roman" w:cs="Times New Roman" w:eastAsia="Times New Roman" w:hAnsi="Times New Roman"/>
                <w:i w:val="1"/>
                <w:sz w:val="24"/>
                <w:szCs w:val="24"/>
                <w:rtl w:val="0"/>
              </w:rPr>
              <w:t xml:space="preserve">Public Speaking</w:t>
            </w:r>
            <w:r w:rsidDel="00000000" w:rsidR="00000000" w:rsidRPr="00000000">
              <w:rPr>
                <w:rFonts w:ascii="Times New Roman" w:cs="Times New Roman" w:eastAsia="Times New Roman" w:hAnsi="Times New Roman"/>
                <w:sz w:val="24"/>
                <w:szCs w:val="24"/>
                <w:rtl w:val="0"/>
              </w:rPr>
              <w:t xml:space="preserve">/Komunikasi Publik memberikan pemahaman teori dan praktik </w:t>
            </w:r>
            <w:r w:rsidDel="00000000" w:rsidR="00000000" w:rsidRPr="00000000">
              <w:rPr>
                <w:rFonts w:ascii="Times New Roman" w:cs="Times New Roman" w:eastAsia="Times New Roman" w:hAnsi="Times New Roman"/>
                <w:i w:val="1"/>
                <w:sz w:val="24"/>
                <w:szCs w:val="24"/>
                <w:rtl w:val="0"/>
              </w:rPr>
              <w:t xml:space="preserve">Public Speaking </w:t>
            </w:r>
            <w:r w:rsidDel="00000000" w:rsidR="00000000" w:rsidRPr="00000000">
              <w:rPr>
                <w:rFonts w:ascii="Times New Roman" w:cs="Times New Roman" w:eastAsia="Times New Roman" w:hAnsi="Times New Roman"/>
                <w:sz w:val="24"/>
                <w:szCs w:val="24"/>
                <w:rtl w:val="0"/>
              </w:rPr>
              <w:t xml:space="preserve">di depan publik seperti presentasi ilmiah, pidato formal maupun informal yang mencakup identifikasi audiens, etika dalam komunikasi publik, merencanakan pesan untuk publik, memahami respon audiens, membuat perangkat pendukung pidato, serta melakukan evaluasi hasil. Mata kuliah ini akan melatih mahasiswa dalam keberanian berbicara di depan publik dan mempersiapkan perangkat visual yang dibutuhkan dalam komunikasi publik, bahasa tubuh yang harus dilakukan dan dihindari dalam komunikasi publik, serta penggunaan alat bantu untuk mencapai efektivitas dalam komunikasi publik.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Bahan Kajian/ Materi Pembelajaran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Public Speaking?</w:t>
            </w:r>
          </w:p>
          <w:p w:rsidR="00000000" w:rsidDel="00000000" w:rsidP="00000000" w:rsidRDefault="00000000" w:rsidRPr="00000000" w14:paraId="000000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Ethics of Public Speaking</w:t>
            </w:r>
          </w:p>
          <w:p w:rsidR="00000000" w:rsidDel="00000000" w:rsidP="00000000" w:rsidRDefault="00000000" w:rsidRPr="00000000" w14:paraId="000000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Outlining &amp; Organizing a Speech</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Components for Public Speaking</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Body Language and Gestures in Public Speaking</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Performances and </w:t>
            </w:r>
            <w:r w:rsidDel="00000000" w:rsidR="00000000" w:rsidRPr="00000000">
              <w:rPr>
                <w:rFonts w:ascii="Times New Roman" w:cs="Times New Roman" w:eastAsia="Times New Roman" w:hAnsi="Times New Roman"/>
                <w:sz w:val="24"/>
                <w:szCs w:val="24"/>
                <w:rtl w:val="0"/>
              </w:rPr>
              <w:t xml:space="preserve">Reflections</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Pustaka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Utama: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Lucas, S., &amp; Stob, P. (2004). </w:t>
            </w:r>
            <w:r w:rsidDel="00000000" w:rsidR="00000000" w:rsidRPr="00000000">
              <w:rPr>
                <w:rFonts w:ascii="Times New Roman" w:cs="Times New Roman" w:eastAsia="Times New Roman" w:hAnsi="Times New Roman"/>
                <w:i w:val="1"/>
                <w:color w:val="222222"/>
                <w:sz w:val="24"/>
                <w:szCs w:val="24"/>
                <w:highlight w:val="white"/>
                <w:rtl w:val="0"/>
              </w:rPr>
              <w:t xml:space="preserve">The art of public speaking</w:t>
            </w:r>
            <w:r w:rsidDel="00000000" w:rsidR="00000000" w:rsidRPr="00000000">
              <w:rPr>
                <w:rFonts w:ascii="Times New Roman" w:cs="Times New Roman" w:eastAsia="Times New Roman" w:hAnsi="Times New Roman"/>
                <w:color w:val="222222"/>
                <w:sz w:val="24"/>
                <w:szCs w:val="24"/>
                <w:highlight w:val="white"/>
                <w:rtl w:val="0"/>
              </w:rPr>
              <w:t xml:space="preserve"> (p. 382). McGraw-Hill.</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Pendukung: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tabs>
                <w:tab w:val="left" w:leader="none" w:pos="2120"/>
              </w:tabs>
              <w:spacing w:after="280" w:line="240" w:lineRule="auto"/>
              <w:ind w:left="426" w:hanging="426"/>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Chien, S. Y., Hwang, G. J., &amp; Jong, M. S. Y. (2020). Effects of peer assessment within the context of spherical video-based virtual reality on EFL students’ English-Speaking performance and learning perceptions. </w:t>
            </w:r>
            <w:r w:rsidDel="00000000" w:rsidR="00000000" w:rsidRPr="00000000">
              <w:rPr>
                <w:rFonts w:ascii="Times New Roman" w:cs="Times New Roman" w:eastAsia="Times New Roman" w:hAnsi="Times New Roman"/>
                <w:i w:val="1"/>
                <w:color w:val="222222"/>
                <w:sz w:val="24"/>
                <w:szCs w:val="24"/>
                <w:highlight w:val="white"/>
                <w:rtl w:val="0"/>
              </w:rPr>
              <w:t xml:space="preserve">Computers &amp; Education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146</w:t>
            </w:r>
            <w:r w:rsidDel="00000000" w:rsidR="00000000" w:rsidRPr="00000000">
              <w:rPr>
                <w:rFonts w:ascii="Times New Roman" w:cs="Times New Roman" w:eastAsia="Times New Roman" w:hAnsi="Times New Roman"/>
                <w:color w:val="222222"/>
                <w:sz w:val="24"/>
                <w:szCs w:val="24"/>
                <w:highlight w:val="white"/>
                <w:rtl w:val="0"/>
              </w:rPr>
              <w:t xml:space="preserve">, 103751.</w:t>
            </w:r>
          </w:p>
          <w:p w:rsidR="00000000" w:rsidDel="00000000" w:rsidP="00000000" w:rsidRDefault="00000000" w:rsidRPr="00000000" w14:paraId="000000C6">
            <w:pPr>
              <w:tabs>
                <w:tab w:val="left" w:leader="none" w:pos="2120"/>
              </w:tabs>
              <w:spacing w:after="280" w:line="240" w:lineRule="auto"/>
              <w:ind w:left="426" w:hanging="426"/>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Osborn, M., et al. (2009). </w:t>
            </w:r>
            <w:r w:rsidDel="00000000" w:rsidR="00000000" w:rsidRPr="00000000">
              <w:rPr>
                <w:rFonts w:ascii="Times New Roman" w:cs="Times New Roman" w:eastAsia="Times New Roman" w:hAnsi="Times New Roman"/>
                <w:i w:val="1"/>
                <w:color w:val="222222"/>
                <w:sz w:val="24"/>
                <w:szCs w:val="24"/>
                <w:highlight w:val="white"/>
                <w:rtl w:val="0"/>
              </w:rPr>
              <w:t xml:space="preserve">Public Speaking</w:t>
            </w:r>
            <w:r w:rsidDel="00000000" w:rsidR="00000000" w:rsidRPr="00000000">
              <w:rPr>
                <w:rFonts w:ascii="Times New Roman" w:cs="Times New Roman" w:eastAsia="Times New Roman" w:hAnsi="Times New Roman"/>
                <w:color w:val="222222"/>
                <w:sz w:val="24"/>
                <w:szCs w:val="24"/>
                <w:highlight w:val="white"/>
                <w:rtl w:val="0"/>
              </w:rPr>
              <w:t xml:space="preserve">. Pearson Education Limited</w:t>
            </w:r>
          </w:p>
          <w:p w:rsidR="00000000" w:rsidDel="00000000" w:rsidP="00000000" w:rsidRDefault="00000000" w:rsidRPr="00000000" w14:paraId="000000C7">
            <w:pPr>
              <w:tabs>
                <w:tab w:val="left" w:leader="none" w:pos="2120"/>
              </w:tabs>
              <w:spacing w:after="280" w:line="240" w:lineRule="auto"/>
              <w:ind w:left="426" w:hanging="426"/>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Seiler, J. W., &amp; Melissa, E.B. (2008). </w:t>
            </w:r>
            <w:r w:rsidDel="00000000" w:rsidR="00000000" w:rsidRPr="00000000">
              <w:rPr>
                <w:rFonts w:ascii="Times New Roman" w:cs="Times New Roman" w:eastAsia="Times New Roman" w:hAnsi="Times New Roman"/>
                <w:i w:val="1"/>
                <w:color w:val="222222"/>
                <w:sz w:val="24"/>
                <w:szCs w:val="24"/>
                <w:highlight w:val="white"/>
                <w:rtl w:val="0"/>
              </w:rPr>
              <w:t xml:space="preserve">Making Connections</w:t>
            </w:r>
            <w:r w:rsidDel="00000000" w:rsidR="00000000" w:rsidRPr="00000000">
              <w:rPr>
                <w:rFonts w:ascii="Times New Roman" w:cs="Times New Roman" w:eastAsia="Times New Roman" w:hAnsi="Times New Roman"/>
                <w:color w:val="222222"/>
                <w:sz w:val="24"/>
                <w:szCs w:val="24"/>
                <w:highlight w:val="white"/>
                <w:rtl w:val="0"/>
              </w:rPr>
              <w:t xml:space="preserve">. Pearson Education Limited.</w:t>
            </w:r>
          </w:p>
          <w:p w:rsidR="00000000" w:rsidDel="00000000" w:rsidP="00000000" w:rsidRDefault="00000000" w:rsidRPr="00000000" w14:paraId="000000C8">
            <w:pPr>
              <w:tabs>
                <w:tab w:val="left" w:leader="none" w:pos="2120"/>
              </w:tabs>
              <w:spacing w:before="28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Zhang, X., Ardasheva, Y., &amp; Austin, B. W. (2020). Self-efficacy and English public speaking performance: A mixed method approach. </w:t>
            </w:r>
            <w:r w:rsidDel="00000000" w:rsidR="00000000" w:rsidRPr="00000000">
              <w:rPr>
                <w:rFonts w:ascii="Times New Roman" w:cs="Times New Roman" w:eastAsia="Times New Roman" w:hAnsi="Times New Roman"/>
                <w:i w:val="1"/>
                <w:color w:val="222222"/>
                <w:sz w:val="24"/>
                <w:szCs w:val="24"/>
                <w:highlight w:val="white"/>
                <w:rtl w:val="0"/>
              </w:rPr>
              <w:t xml:space="preserve">English for Specific Purposes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59</w:t>
            </w:r>
            <w:r w:rsidDel="00000000" w:rsidR="00000000" w:rsidRPr="00000000">
              <w:rPr>
                <w:rFonts w:ascii="Times New Roman" w:cs="Times New Roman" w:eastAsia="Times New Roman" w:hAnsi="Times New Roman"/>
                <w:color w:val="222222"/>
                <w:sz w:val="24"/>
                <w:szCs w:val="24"/>
                <w:highlight w:val="white"/>
                <w:rtl w:val="0"/>
              </w:rPr>
              <w:t xml:space="preserve">, 1-16.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Dosen Pengampu</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Istiqlaliah Nurul Hidayati, M.Pd., Tina Priyantin, M.Pd.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Mata Kuliah Syarat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Rumpun Mata Kuliah Speaking pada semester 1 dan 2</w:t>
            </w:r>
          </w:p>
        </w:tc>
      </w:tr>
    </w:tbl>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tl w:val="0"/>
        </w:rPr>
      </w:r>
    </w:p>
    <w:tbl>
      <w:tblPr>
        <w:tblStyle w:val="Table2"/>
        <w:tblW w:w="12949.999999999998" w:type="dxa"/>
        <w:jc w:val="left"/>
        <w:tblLayout w:type="fixed"/>
        <w:tblLook w:val="0400"/>
      </w:tblPr>
      <w:tblGrid>
        <w:gridCol w:w="958"/>
        <w:gridCol w:w="2089"/>
        <w:gridCol w:w="2720"/>
        <w:gridCol w:w="1540"/>
        <w:gridCol w:w="1629"/>
        <w:gridCol w:w="1261"/>
        <w:gridCol w:w="1601"/>
        <w:gridCol w:w="1116"/>
        <w:gridCol w:w="36"/>
        <w:tblGridChange w:id="0">
          <w:tblGrid>
            <w:gridCol w:w="958"/>
            <w:gridCol w:w="2089"/>
            <w:gridCol w:w="2720"/>
            <w:gridCol w:w="1540"/>
            <w:gridCol w:w="1629"/>
            <w:gridCol w:w="1261"/>
            <w:gridCol w:w="1601"/>
            <w:gridCol w:w="1116"/>
            <w:gridCol w:w="3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Minggu ke-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Kemampuan akhir tiap tahapan belajar (Sub-CPMK)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Penilaian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Bentuk Pembelajaran, Metode Pembelajaran, Penugasan Mahasiswa </w:t>
            </w:r>
            <w:r w:rsidDel="00000000" w:rsidR="00000000" w:rsidRPr="00000000">
              <w:rPr>
                <w:rFonts w:ascii="Times New Roman" w:cs="Times New Roman" w:eastAsia="Times New Roman" w:hAnsi="Times New Roman"/>
                <w:b w:val="1"/>
                <w:color w:val="2e75b5"/>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Materi Pembelajaran </w:t>
            </w:r>
            <w:r w:rsidDel="00000000" w:rsidR="00000000" w:rsidRPr="00000000">
              <w:rPr>
                <w:rFonts w:ascii="Times New Roman" w:cs="Times New Roman" w:eastAsia="Times New Roman" w:hAnsi="Times New Roman"/>
                <w:b w:val="1"/>
                <w:color w:val="2e75b5"/>
                <w:rtl w:val="0"/>
              </w:rPr>
              <w:t xml:space="preserve">(Pustaka)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Penilaian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Indikator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Kriteria&amp; bentuk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Luring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Daring</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pengertian Public Speaking serta manfaat nya dalam dunia multikultural secara kritis (Sub CPMK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numPr>
                <w:ilvl w:val="0"/>
                <w:numId w:val="3"/>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Menjelaskan pengertian Public Speaking dengan kritis</w:t>
            </w:r>
          </w:p>
          <w:p w:rsidR="00000000" w:rsidDel="00000000" w:rsidP="00000000" w:rsidRDefault="00000000" w:rsidRPr="00000000" w14:paraId="000000ED">
            <w:pPr>
              <w:numPr>
                <w:ilvl w:val="0"/>
                <w:numId w:val="3"/>
              </w:numPr>
              <w:spacing w:line="240" w:lineRule="auto"/>
              <w:ind w:left="136"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Menjelaskan manfaat public speaking dalam dunia multikultural secara kritis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GBA</w:t>
            </w:r>
          </w:p>
          <w:p w:rsidR="00000000" w:rsidDel="00000000" w:rsidP="00000000" w:rsidRDefault="00000000" w:rsidRPr="00000000" w14:paraId="000000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Membaca artikel/buku, diskusi dan tanya jawab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numPr>
                <w:ilvl w:val="0"/>
                <w:numId w:val="6"/>
              </w:numPr>
              <w:spacing w:after="0" w:line="240" w:lineRule="auto"/>
              <w:ind w:left="270"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Public Speaking?</w:t>
            </w:r>
          </w:p>
          <w:p w:rsidR="00000000" w:rsidDel="00000000" w:rsidP="00000000" w:rsidRDefault="00000000" w:rsidRPr="00000000" w14:paraId="000000F5">
            <w:pPr>
              <w:numPr>
                <w:ilvl w:val="0"/>
                <w:numId w:val="6"/>
              </w:numPr>
              <w:spacing w:after="0" w:line="240" w:lineRule="auto"/>
              <w:ind w:left="270" w:hanging="27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Public speaking in multicultural world</w:t>
            </w:r>
          </w:p>
          <w:p w:rsidR="00000000" w:rsidDel="00000000" w:rsidP="00000000" w:rsidRDefault="00000000" w:rsidRPr="00000000" w14:paraId="000000F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mengenai etika komunikasi publik secara nasional dan internasional dengan tepat (Sub CPMK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etika komunikasi public secara nasional dan internasional</w:t>
            </w:r>
          </w:p>
          <w:p w:rsidR="00000000" w:rsidDel="00000000" w:rsidP="00000000" w:rsidRDefault="00000000" w:rsidRPr="00000000" w14:paraId="000000F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video-video berisi komunikasi public yang dapat diakses di internet</w:t>
            </w:r>
          </w:p>
          <w:p w:rsidR="00000000" w:rsidDel="00000000" w:rsidP="00000000" w:rsidRDefault="00000000" w:rsidRPr="00000000" w14:paraId="000000F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umpan balik terhadap video-video public speaking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 lisan, unjuk kerja,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Menganalisis video-video Public Speaking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The Ethics of Public Speakin</w:t>
            </w:r>
            <w:r w:rsidDel="00000000" w:rsidR="00000000" w:rsidRPr="00000000">
              <w:rPr>
                <w:rFonts w:ascii="Times New Roman" w:cs="Times New Roman" w:eastAsia="Times New Roman" w:hAnsi="Times New Roman"/>
                <w:color w:val="000000"/>
                <w:sz w:val="24"/>
                <w:szCs w:val="24"/>
                <w:rtl w:val="0"/>
              </w:rPr>
              <w:t xml:space="preserve">g</w:t>
            </w:r>
          </w:p>
          <w:p w:rsidR="00000000" w:rsidDel="00000000" w:rsidP="00000000" w:rsidRDefault="00000000" w:rsidRPr="00000000" w14:paraId="0000010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kerangka dan naskah komunikasi publik dalam presentasi ilmiah secara kritis dan sistematis (Sub-CPMK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Menyusun kerangka dan naskah komunikasi publik dalam presentasi ilmiah secara kritis dan sistematis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Produk,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GBA</w:t>
            </w:r>
          </w:p>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 Membuat kerangka dan naskah sebagai MC dan moderator dalam suatu acara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D">
            <w:pPr>
              <w:numPr>
                <w:ilvl w:val="0"/>
                <w:numId w:val="7"/>
              </w:numPr>
              <w:spacing w:after="0" w:afterAutospacing="0" w:line="240" w:lineRule="auto"/>
              <w:ind w:left="270" w:hanging="27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Selecting a topic and gathering materials</w:t>
            </w:r>
          </w:p>
          <w:p w:rsidR="00000000" w:rsidDel="00000000" w:rsidP="00000000" w:rsidRDefault="00000000" w:rsidRPr="00000000" w14:paraId="0000010E">
            <w:pPr>
              <w:numPr>
                <w:ilvl w:val="0"/>
                <w:numId w:val="7"/>
              </w:numPr>
              <w:spacing w:line="240" w:lineRule="auto"/>
              <w:ind w:left="270" w:hanging="27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Organizing and outlining a speech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mempresentasikan naskah komunikasi publik dalam presentasi ilmiah secara efektif dan sistematis (Sub-CPMK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Melakukan peran sebagai MC atau moderator dalam acara formal dengan lancar, efektif, dan sistematis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Unjuk kinerja, reflective journal keaktifan, 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w:t>
            </w:r>
          </w:p>
          <w:p w:rsidR="00000000" w:rsidDel="00000000" w:rsidP="00000000" w:rsidRDefault="00000000" w:rsidRPr="00000000" w14:paraId="000001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learning</w:t>
            </w:r>
          </w:p>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 Membuat situasi suatu acara rapat/seminar dalam kelompok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8">
            <w:pPr>
              <w:numPr>
                <w:ilvl w:val="0"/>
                <w:numId w:val="5"/>
              </w:numPr>
              <w:spacing w:line="240" w:lineRule="auto"/>
              <w:ind w:left="270" w:hanging="27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How to be an MC and a moderator in a formal meeting and seminar.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1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8</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1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Tengah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membuat kerangka dan naskah komunikasi publik untuk presentasi ilmiah secara kritis dan sistematis (Sub-CPMK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numPr>
                <w:ilvl w:val="0"/>
                <w:numId w:val="8"/>
              </w:numPr>
              <w:spacing w:line="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Menyusun kerangka dan naskah komunikasi publik untuk presentasi tentang pendidikan dan kebudayaan</w:t>
            </w:r>
            <w:r w:rsidDel="00000000" w:rsidR="00000000" w:rsidRPr="00000000">
              <w:rPr>
                <w:rtl w:val="0"/>
              </w:rPr>
            </w:r>
          </w:p>
          <w:p w:rsidR="00000000" w:rsidDel="00000000" w:rsidP="00000000" w:rsidRDefault="00000000" w:rsidRPr="00000000" w14:paraId="00000126">
            <w:pPr>
              <w:spacing w:line="240" w:lineRule="auto"/>
              <w:ind w:left="720" w:firstLine="0"/>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Produk, keaktifan, sikap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GBA</w:t>
            </w: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Membuat kerangka dan naskah untuk memberikan pidato tentang pendidikan dan kebudayaan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D">
            <w:pPr>
              <w:numPr>
                <w:ilvl w:val="0"/>
                <w:numId w:val="7"/>
              </w:numPr>
              <w:spacing w:after="0" w:afterAutospacing="0"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Selecting a topic and gathering materials</w:t>
            </w:r>
          </w:p>
          <w:p w:rsidR="00000000" w:rsidDel="00000000" w:rsidP="00000000" w:rsidRDefault="00000000" w:rsidRPr="00000000" w14:paraId="0000012E">
            <w:pPr>
              <w:numPr>
                <w:ilvl w:val="0"/>
                <w:numId w:val="7"/>
              </w:num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and outlining a speech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15</w:t>
            </w:r>
            <w:r w:rsidDel="00000000" w:rsidR="00000000" w:rsidRPr="00000000">
              <w:rPr>
                <w:rtl w:val="0"/>
              </w:rPr>
            </w:r>
          </w:p>
        </w:tc>
        <w:tc>
          <w:tcPr>
            <w:vAlign w:val="center"/>
          </w:tcPr>
          <w:p w:rsidR="00000000" w:rsidDel="00000000" w:rsidP="00000000" w:rsidRDefault="00000000" w:rsidRPr="00000000" w14:paraId="0000013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mempresentasikan naskah komunikasi publik dalam sebuah pidato (Sub-CPMK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numPr>
                <w:ilvl w:val="0"/>
                <w:numId w:val="9"/>
              </w:numPr>
              <w:spacing w:line="240" w:lineRule="auto"/>
              <w:ind w:left="270" w:hanging="18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Mempraktikkan pidato atau presentasi tentang pendidikan dan kebu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Unjuk kinerja, reflective journal keaktifan, sikap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Model:</w:t>
            </w: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GBA</w:t>
            </w:r>
          </w:p>
          <w:p w:rsidR="00000000" w:rsidDel="00000000" w:rsidP="00000000" w:rsidRDefault="00000000" w:rsidRPr="00000000" w14:paraId="000001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Penugasan:</w:t>
            </w: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LMS Universitas Pakuan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deliver a speech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25</w:t>
            </w:r>
          </w:p>
        </w:tc>
        <w:tc>
          <w:tcPr>
            <w:vAlign w:val="center"/>
          </w:tcPr>
          <w:p w:rsidR="00000000" w:rsidDel="00000000" w:rsidP="00000000" w:rsidRDefault="00000000" w:rsidRPr="00000000" w14:paraId="0000013C">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16</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Ujian Akhir Semester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100</w:t>
            </w:r>
            <w:r w:rsidDel="00000000" w:rsidR="00000000" w:rsidRPr="00000000">
              <w:rPr>
                <w:rtl w:val="0"/>
              </w:rPr>
            </w:r>
          </w:p>
        </w:tc>
        <w:tc>
          <w:tcPr>
            <w:vAlign w:val="center"/>
          </w:tcPr>
          <w:p w:rsidR="00000000" w:rsidDel="00000000" w:rsidP="00000000" w:rsidRDefault="00000000" w:rsidRPr="00000000" w14:paraId="0000014E">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F">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rtl w:val="0"/>
        </w:rPr>
        <w:t xml:space="preserve">Rencana, Distribusi, dan Persentase Penilaian MK Public Speaking</w:t>
      </w:r>
      <w:r w:rsidDel="00000000" w:rsidR="00000000" w:rsidRPr="00000000">
        <w:rPr>
          <w:rtl w:val="0"/>
        </w:rPr>
      </w:r>
    </w:p>
    <w:tbl>
      <w:tblPr>
        <w:tblStyle w:val="Table3"/>
        <w:tblW w:w="12950.0" w:type="dxa"/>
        <w:jc w:val="left"/>
        <w:tblLayout w:type="fixed"/>
        <w:tblLook w:val="0400"/>
      </w:tblPr>
      <w:tblGrid>
        <w:gridCol w:w="1574"/>
        <w:gridCol w:w="645"/>
        <w:gridCol w:w="657"/>
        <w:gridCol w:w="926"/>
        <w:gridCol w:w="1444"/>
        <w:gridCol w:w="850"/>
        <w:gridCol w:w="1380"/>
        <w:gridCol w:w="1185"/>
        <w:gridCol w:w="803"/>
        <w:gridCol w:w="1158"/>
        <w:gridCol w:w="755"/>
        <w:gridCol w:w="1573"/>
        <w:tblGridChange w:id="0">
          <w:tblGrid>
            <w:gridCol w:w="1574"/>
            <w:gridCol w:w="645"/>
            <w:gridCol w:w="657"/>
            <w:gridCol w:w="926"/>
            <w:gridCol w:w="1444"/>
            <w:gridCol w:w="850"/>
            <w:gridCol w:w="1380"/>
            <w:gridCol w:w="1185"/>
            <w:gridCol w:w="803"/>
            <w:gridCol w:w="1158"/>
            <w:gridCol w:w="755"/>
            <w:gridCol w:w="15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Produk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Reflective Journal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Laporan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Presentasi/</w:t>
            </w:r>
            <w:r w:rsidDel="00000000" w:rsidR="00000000" w:rsidRPr="00000000">
              <w:rPr>
                <w:rtl w:val="0"/>
              </w:rPr>
            </w:r>
          </w:p>
          <w:p w:rsidR="00000000" w:rsidDel="00000000" w:rsidP="00000000" w:rsidRDefault="00000000" w:rsidRPr="00000000" w14:paraId="0000015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Unjuk Kinerja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Lembar kerja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Tes 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Keaktifan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Sikap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Sub-CPMK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4">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A">
            <w:pPr>
              <w:spacing w:after="0"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Sub-CPMK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Persentase 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2">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6600825</wp:posOffset>
            </wp:positionH>
            <wp:positionV relativeFrom="paragraph">
              <wp:posOffset>466657</wp:posOffset>
            </wp:positionV>
            <wp:extent cx="800735" cy="1111885"/>
            <wp:effectExtent b="0" l="0" r="0" t="0"/>
            <wp:wrapNone/>
            <wp:docPr id="154649765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00735" cy="1111885"/>
                    </a:xfrm>
                    <a:prstGeom prst="rect"/>
                    <a:ln/>
                  </pic:spPr>
                </pic:pic>
              </a:graphicData>
            </a:graphic>
          </wp:anchor>
        </w:drawing>
      </w:r>
    </w:p>
    <w:p w:rsidR="00000000" w:rsidDel="00000000" w:rsidP="00000000" w:rsidRDefault="00000000" w:rsidRPr="00000000" w14:paraId="000001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ab/>
        <w:tab/>
        <w:tab/>
        <w:tab/>
        <w:tab/>
        <w:tab/>
        <w:tab/>
        <w:tab/>
        <w:tab/>
        <w:tab/>
        <w:tab/>
        <w:tab/>
        <w:tab/>
        <w:t xml:space="preserve">Bogor, Agustus 202</w:t>
      </w: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spacing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B6">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tab/>
        <w:t xml:space="preserve"> </w:t>
      </w:r>
      <w:r w:rsidDel="00000000" w:rsidR="00000000" w:rsidRPr="00000000">
        <w:rPr>
          <w:rFonts w:ascii="Times New Roman" w:cs="Times New Roman" w:eastAsia="Times New Roman" w:hAnsi="Times New Roman"/>
          <w:rtl w:val="0"/>
        </w:rPr>
        <w:t xml:space="preserve">Tina Priyantin, M.Pd.</w:t>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16A54"/>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C16A54"/>
  </w:style>
  <w:style w:type="paragraph" w:styleId="Default" w:customStyle="1">
    <w:name w:val="Default"/>
    <w:rsid w:val="00C16A54"/>
    <w:pPr>
      <w:autoSpaceDE w:val="0"/>
      <w:autoSpaceDN w:val="0"/>
      <w:adjustRightInd w:val="0"/>
      <w:spacing w:after="0" w:line="240" w:lineRule="auto"/>
    </w:pPr>
    <w:rPr>
      <w:rFonts w:ascii="Calibri" w:cs="Calibri" w:hAnsi="Calibri"/>
      <w:color w:val="000000"/>
      <w:kern w:val="0"/>
      <w:sz w:val="24"/>
      <w:szCs w:val="24"/>
    </w:r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B085B"/>
    <w:pPr>
      <w:ind w:left="720"/>
      <w:contextualSpacing w:val="1"/>
    </w:p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2D59A1"/>
  </w:style>
  <w:style w:type="paragraph" w:styleId="NoSpacing">
    <w:name w:val="No Spacing"/>
    <w:uiPriority w:val="1"/>
    <w:qFormat w:val="1"/>
    <w:rsid w:val="002D59A1"/>
    <w:pPr>
      <w:spacing w:after="0" w:line="240" w:lineRule="auto"/>
    </w:pPr>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uQMpetbITCurYZBVE7RDVkEbA==">CgMxLjA4AHIhMVhfSUNPUEpPMzNVOEMwX0hzNGJtZ1RjWm5YT2g5VklD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2023-05-16T14:24:00Z</dcterms:created>
  <dc:creator>istiqlaliah nurul hidayati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6da09be1-a3b1-4ce3-8ede-7d6be348b502</vt:lpwstr>
  </property>
</Properties>
</file>