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732"/>
        <w:gridCol w:w="1666"/>
        <w:gridCol w:w="850"/>
        <w:gridCol w:w="837"/>
        <w:gridCol w:w="840"/>
        <w:gridCol w:w="831"/>
        <w:gridCol w:w="1325"/>
        <w:gridCol w:w="1269"/>
      </w:tblGrid>
      <w:tr>
        <w:tblPrEx>
          <w:shd w:val="clear" w:color="auto" w:fill="d0ddef"/>
        </w:tblPrEx>
        <w:trPr>
          <w:trHeight w:val="1100"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center"/>
          </w:tcPr>
          <w:p>
            <w:pPr>
              <w:pStyle w:val="Body"/>
              <w:spacing w:line="276" w:lineRule="auto"/>
              <w:jc w:val="center"/>
            </w:pPr>
            <w:r>
              <w:rPr>
                <w:rFonts w:ascii="Arial" w:hAnsi="Arial"/>
                <w:sz w:val="22"/>
                <w:szCs w:val="22"/>
                <w:shd w:val="nil" w:color="auto" w:fill="auto"/>
              </w:rPr>
              <w:drawing xmlns:a="http://schemas.openxmlformats.org/drawingml/2006/main">
                <wp:inline distT="0" distB="0" distL="0" distR="0">
                  <wp:extent cx="805218" cy="81301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805218" cy="813010"/>
                          </a:xfrm>
                          <a:prstGeom prst="rect">
                            <a:avLst/>
                          </a:prstGeom>
                          <a:ln w="12700" cap="flat">
                            <a:noFill/>
                            <a:miter lim="400000"/>
                          </a:ln>
                          <a:effectLst/>
                        </pic:spPr>
                      </pic:pic>
                    </a:graphicData>
                  </a:graphic>
                </wp:inline>
              </w:drawing>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rPr>
                <w:rFonts w:ascii="Arial" w:cs="Arial" w:hAnsi="Arial" w:eastAsia="Arial"/>
                <w:b w:val="1"/>
                <w:bCs w:val="1"/>
                <w:sz w:val="32"/>
                <w:szCs w:val="32"/>
                <w:shd w:val="nil" w:color="auto" w:fill="auto"/>
              </w:rPr>
            </w:pPr>
            <w:r>
              <w:rPr>
                <w:rFonts w:ascii="Arial" w:hAnsi="Arial"/>
                <w:b w:val="1"/>
                <w:bCs w:val="1"/>
                <w:sz w:val="32"/>
                <w:szCs w:val="32"/>
                <w:shd w:val="nil" w:color="auto" w:fill="auto"/>
                <w:rtl w:val="0"/>
                <w:lang w:val="en-US"/>
              </w:rPr>
              <w:t>UNIVERSITAS PAKUAN</w:t>
            </w:r>
          </w:p>
          <w:p>
            <w:pPr>
              <w:pStyle w:val="Body"/>
              <w:bidi w:val="0"/>
              <w:spacing w:after="0" w:line="276" w:lineRule="auto"/>
              <w:ind w:left="0" w:right="0" w:firstLine="0"/>
              <w:jc w:val="center"/>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lang w:val="en-US"/>
              </w:rPr>
              <w:t>FAKULTAS KEGURUAN DAN ILMU PENDIDIKAN</w:t>
            </w:r>
          </w:p>
          <w:p>
            <w:pPr>
              <w:pStyle w:val="Body"/>
              <w:bidi w:val="0"/>
              <w:spacing w:after="0" w:line="276" w:lineRule="auto"/>
              <w:ind w:left="0" w:right="0" w:firstLine="0"/>
              <w:jc w:val="center"/>
              <w:rPr>
                <w:rtl w:val="0"/>
              </w:rPr>
            </w:pPr>
            <w:r>
              <w:rPr>
                <w:rFonts w:ascii="Arial" w:hAnsi="Arial"/>
                <w:b w:val="1"/>
                <w:bCs w:val="1"/>
                <w:sz w:val="28"/>
                <w:szCs w:val="28"/>
                <w:shd w:val="nil" w:color="auto" w:fill="auto"/>
                <w:rtl w:val="0"/>
                <w:lang w:val="en-US"/>
              </w:rPr>
              <w:t>PROGRAM STUDI PENDIDIKAN BAHASA INGGRIS</w:t>
            </w:r>
          </w:p>
        </w:tc>
      </w:tr>
      <w:tr>
        <w:tblPrEx>
          <w:shd w:val="clear" w:color="auto" w:fill="d0ddef"/>
        </w:tblPrEx>
        <w:trPr>
          <w:trHeight w:val="282"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pPr>
            <w:r>
              <w:rPr>
                <w:rFonts w:ascii="Arial" w:hAnsi="Arial"/>
                <w:b w:val="1"/>
                <w:bCs w:val="1"/>
                <w:sz w:val="24"/>
                <w:szCs w:val="24"/>
                <w:shd w:val="nil" w:color="auto" w:fill="auto"/>
                <w:rtl w:val="0"/>
                <w:lang w:val="en-US"/>
              </w:rPr>
              <w:t>RENCANA PEMBELAJARAN SEMESTER (RPS)</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MATA KULIAH (MK)</w:t>
            </w: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KODE</w:t>
            </w:r>
          </w:p>
        </w:tc>
        <w:tc>
          <w:tcPr>
            <w:tcW w:type="dxa" w:w="168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RUMPUN MK</w:t>
            </w:r>
          </w:p>
        </w:tc>
        <w:tc>
          <w:tcPr>
            <w:tcW w:type="dxa" w:w="167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BOBOT (SKS)</w:t>
            </w: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SEMESTER</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NO&amp;TGL DOK</w:t>
            </w:r>
          </w:p>
        </w:tc>
      </w:tr>
      <w:tr>
        <w:tblPrEx>
          <w:shd w:val="clear" w:color="auto" w:fill="d0ddef"/>
        </w:tblPrEx>
        <w:trPr>
          <w:trHeight w:val="727"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rtl w:val="0"/>
                <w:lang w:val="en-US"/>
              </w:rPr>
              <w:t xml:space="preserve">Second Language Acquisition </w:t>
            </w: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PIN</w:t>
            </w:r>
            <w:r>
              <w:rPr>
                <w:rFonts w:ascii="Arial" w:hAnsi="Arial"/>
                <w:sz w:val="20"/>
                <w:szCs w:val="20"/>
                <w:shd w:val="nil" w:color="auto" w:fill="auto"/>
                <w:rtl w:val="0"/>
                <w:lang w:val="en-US"/>
              </w:rPr>
              <w:t>63x</w:t>
            </w:r>
          </w:p>
        </w:tc>
        <w:tc>
          <w:tcPr>
            <w:tcW w:type="dxa" w:w="168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2</w:t>
            </w: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rtl w:val="0"/>
                <w:lang w:val="en-US"/>
              </w:rPr>
              <w:t>7</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OTORISASI</w:t>
            </w:r>
          </w:p>
        </w:tc>
        <w:tc>
          <w:tcPr>
            <w:tcW w:type="dxa" w:w="25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Pengembang RPS</w:t>
            </w:r>
          </w:p>
        </w:tc>
        <w:tc>
          <w:tcPr>
            <w:tcW w:type="dxa" w:w="25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Koordinator RMK</w:t>
            </w:r>
          </w:p>
        </w:tc>
        <w:tc>
          <w:tcPr>
            <w:tcW w:type="dxa" w:w="25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Ketua Prodi</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cs="Arial" w:hAnsi="Arial" w:eastAsia="Arial"/>
                <w:sz w:val="20"/>
                <w:szCs w:val="20"/>
                <w:shd w:val="nil" w:color="auto" w:fill="auto"/>
                <w:lang w:val="en-US"/>
              </w:rPr>
            </w:r>
          </w:p>
        </w:tc>
        <w:tc>
          <w:tcPr>
            <w:tcW w:type="dxa" w:w="25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sz w:val="20"/>
                <w:szCs w:val="20"/>
                <w:shd w:val="nil" w:color="auto" w:fill="auto"/>
                <w:rtl w:val="0"/>
                <w:lang w:val="en-US"/>
              </w:rPr>
              <w:t>Asih Wahyuni, M.Pd.</w:t>
            </w:r>
          </w:p>
        </w:tc>
        <w:tc>
          <w:tcPr>
            <w:tcW w:type="dxa" w:w="25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rtl w:val="0"/>
                <w:lang w:val="en-US"/>
              </w:rPr>
              <w:t xml:space="preserve">Dr. </w:t>
            </w:r>
            <w:r>
              <w:rPr>
                <w:rFonts w:ascii="Arial" w:hAnsi="Arial"/>
                <w:sz w:val="20"/>
                <w:szCs w:val="20"/>
                <w:shd w:val="nil" w:color="auto" w:fill="auto"/>
                <w:rtl w:val="0"/>
                <w:lang w:val="en-US"/>
              </w:rPr>
              <w:t>Istiqlaliah Nurul Hidayati, M.Pd.</w:t>
            </w:r>
          </w:p>
        </w:tc>
      </w:tr>
      <w:tr>
        <w:tblPrEx>
          <w:shd w:val="clear" w:color="auto" w:fill="d0ddef"/>
        </w:tblPrEx>
        <w:trPr>
          <w:trHeight w:val="22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Capaian Pembelajaran (CP)</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CPL-PRODI yang dibebankan pada MK</w:t>
            </w:r>
          </w:p>
        </w:tc>
      </w:tr>
      <w:tr>
        <w:tblPrEx>
          <w:shd w:val="clear" w:color="auto" w:fill="d0ddef"/>
        </w:tblPrEx>
        <w:trPr>
          <w:trHeight w:val="66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kepribadian yang berakhlak dan berintegritas melalui proses pembelajaran yang menghargai kebhinekaan Indonesia dan nilai- nilai keutamaan .....**</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2</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secara logis, kritis, sistematis, dan inovatif melalui proses pembelajaran yang menekankan etika akademis ilmiah.</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3</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dan teori Bahasa Inggris melalui proses pembelajaran ilmu kebahasaan, kesusastraan, dan pedagogi secara kritis dan reflektif.</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Capaian Pembelajaran Mata Kuliah (CPMK)</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1</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menunjukkan sikap bertanggungjawab atas pekerjaan di bidang</w:t>
            </w:r>
          </w:p>
          <w:p>
            <w:pPr>
              <w:pStyle w:val="Body"/>
              <w:spacing w:after="0" w:line="240" w:lineRule="auto"/>
            </w:pPr>
            <w:r>
              <w:rPr>
                <w:rFonts w:ascii="Arial" w:hAnsi="Arial"/>
                <w:sz w:val="20"/>
                <w:szCs w:val="20"/>
                <w:rtl w:val="0"/>
              </w:rPr>
              <w:t>keahliannya secara mandiri</w:t>
            </w:r>
          </w:p>
        </w:tc>
      </w:tr>
      <w:tr>
        <w:tblPrEx>
          <w:shd w:val="clear" w:color="auto" w:fill="d0ddef"/>
        </w:tblPrEx>
        <w:trPr>
          <w:trHeight w:val="66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2</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mampu mengambil keputusan secara tepat dalam konteks penyelesaian masalah di bidang keahliannya, berdasarkan hasil analisis informasi dan data;</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3</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menguasai konsep dasar linguistik kebahasaan</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Kemampuan akhir tiap tahapan belajar (Sub-CMPK)</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1</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menjelaskan Konsep</w:t>
            </w:r>
            <w:r>
              <w:rPr>
                <w:rFonts w:ascii="Arial" w:hAnsi="Arial"/>
                <w:sz w:val="20"/>
                <w:szCs w:val="20"/>
                <w:shd w:val="nil" w:color="auto" w:fill="auto"/>
                <w:rtl w:val="0"/>
                <w:lang w:val="en-US"/>
              </w:rPr>
              <w:t xml:space="preserve"> mengenai </w:t>
            </w:r>
            <w:r>
              <w:rPr>
                <w:rFonts w:ascii="Arial" w:hAnsi="Arial"/>
                <w:i w:val="1"/>
                <w:iCs w:val="1"/>
                <w:sz w:val="20"/>
                <w:szCs w:val="20"/>
                <w:rtl w:val="0"/>
                <w:lang w:val="en-US"/>
              </w:rPr>
              <w:t xml:space="preserve">Principles in and Practices in Language Acquisition </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2</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menjelaskan</w:t>
            </w:r>
            <w:r>
              <w:rPr>
                <w:rFonts w:ascii="Arial" w:hAnsi="Arial"/>
                <w:sz w:val="20"/>
                <w:szCs w:val="20"/>
                <w:shd w:val="nil" w:color="auto" w:fill="auto"/>
                <w:rtl w:val="0"/>
                <w:lang w:val="en-US"/>
              </w:rPr>
              <w:t xml:space="preserve"> mengenai </w:t>
            </w:r>
            <w:r>
              <w:rPr>
                <w:rFonts w:ascii="Arial" w:hAnsi="Arial"/>
                <w:i w:val="1"/>
                <w:iCs w:val="1"/>
                <w:sz w:val="20"/>
                <w:szCs w:val="20"/>
                <w:rtl w:val="0"/>
                <w:lang w:val="en-US"/>
              </w:rPr>
              <w:t>Second Language Acquisition</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3</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merumuskan</w:t>
            </w:r>
            <w:r>
              <w:rPr>
                <w:rFonts w:ascii="Arial" w:hAnsi="Arial"/>
                <w:sz w:val="20"/>
                <w:szCs w:val="20"/>
                <w:shd w:val="nil" w:color="auto" w:fill="auto"/>
                <w:rtl w:val="0"/>
                <w:lang w:val="en-US"/>
              </w:rPr>
              <w:t xml:space="preserve"> </w:t>
            </w:r>
            <w:r>
              <w:rPr>
                <w:rFonts w:ascii="Arial" w:hAnsi="Arial"/>
                <w:i w:val="1"/>
                <w:iCs w:val="1"/>
                <w:sz w:val="20"/>
                <w:szCs w:val="20"/>
                <w:rtl w:val="0"/>
                <w:lang w:val="en-US"/>
              </w:rPr>
              <w:t xml:space="preserve">Factors contributive to Second Language Acquisition </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4</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merumuskan </w:t>
            </w:r>
            <w:r>
              <w:rPr>
                <w:rFonts w:ascii="Arial" w:hAnsi="Arial"/>
                <w:i w:val="1"/>
                <w:iCs w:val="1"/>
                <w:sz w:val="20"/>
                <w:szCs w:val="20"/>
                <w:rtl w:val="0"/>
                <w:lang w:val="en-US"/>
              </w:rPr>
              <w:t>Issues and Challenges in the Implementation of SLA in the Classrooms</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5</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memilih dan menetapkan</w:t>
            </w:r>
            <w:r>
              <w:rPr>
                <w:rFonts w:ascii="Arial" w:hAnsi="Arial"/>
                <w:sz w:val="20"/>
                <w:szCs w:val="20"/>
                <w:shd w:val="nil" w:color="auto" w:fill="auto"/>
                <w:rtl w:val="0"/>
                <w:lang w:val="en-US"/>
              </w:rPr>
              <w:t xml:space="preserve">/ merancang </w:t>
            </w:r>
            <w:r>
              <w:rPr>
                <w:rFonts w:ascii="Arial" w:hAnsi="Arial"/>
                <w:i w:val="1"/>
                <w:iCs w:val="1"/>
                <w:sz w:val="20"/>
                <w:szCs w:val="20"/>
                <w:rtl w:val="0"/>
                <w:lang w:val="en-US"/>
              </w:rPr>
              <w:t>Design Environment for Effective FLA</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Korelasi CPL terhadap Sub-CPMK</w:t>
            </w:r>
          </w:p>
        </w:tc>
      </w:tr>
      <w:tr>
        <w:tblPrEx>
          <w:shd w:val="clear" w:color="auto" w:fill="d0ddef"/>
        </w:tblPrEx>
        <w:trPr>
          <w:trHeight w:val="66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CPMK1</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CPMK2</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CPMK3</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2</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3</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35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Deskripsi Singkat MK</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after="240" w:line="240" w:lineRule="auto"/>
              <w:ind w:left="0" w:right="0" w:firstLine="0"/>
              <w:jc w:val="left"/>
              <w:rPr>
                <w:rtl w:val="0"/>
              </w:rPr>
            </w:pPr>
            <w:r>
              <w:rPr>
                <w:rFonts w:ascii="Arial" w:hAnsi="Arial"/>
                <w:sz w:val="20"/>
                <w:szCs w:val="20"/>
                <w:rtl w:val="0"/>
              </w:rPr>
              <w:t>Mata kuliah ini di</w:t>
            </w:r>
            <w:r>
              <w:rPr>
                <w:rFonts w:ascii="Arial" w:hAnsi="Arial"/>
                <w:sz w:val="20"/>
                <w:szCs w:val="20"/>
                <w:rtl w:val="0"/>
                <w:lang w:val="en-US"/>
              </w:rPr>
              <w:t>desain</w:t>
            </w:r>
            <w:r>
              <w:rPr>
                <w:rFonts w:ascii="Arial" w:hAnsi="Arial"/>
                <w:sz w:val="20"/>
                <w:szCs w:val="20"/>
                <w:rtl w:val="0"/>
                <w:lang w:val="de-DE"/>
              </w:rPr>
              <w:t xml:space="preserve"> untuk </w:t>
            </w:r>
            <w:r>
              <w:rPr>
                <w:rFonts w:ascii="Arial" w:hAnsi="Arial"/>
                <w:sz w:val="20"/>
                <w:szCs w:val="20"/>
                <w:rtl w:val="0"/>
                <w:lang w:val="en-US"/>
              </w:rPr>
              <w:t xml:space="preserve">membangun dan emberi mimbar bebas akademik mahasiswa </w:t>
            </w:r>
            <w:r>
              <w:rPr>
                <w:rFonts w:ascii="Arial" w:hAnsi="Arial"/>
                <w:sz w:val="20"/>
                <w:szCs w:val="20"/>
                <w:rtl w:val="0"/>
              </w:rPr>
              <w:t>mengenai berbagai konsep yang berkait dengan pemerolehan bahasa (</w:t>
            </w:r>
            <w:r>
              <w:rPr>
                <w:rFonts w:ascii="Arial" w:hAnsi="Arial"/>
                <w:i w:val="1"/>
                <w:iCs w:val="1"/>
                <w:sz w:val="20"/>
                <w:szCs w:val="20"/>
                <w:rtl w:val="0"/>
                <w:lang w:val="it-IT"/>
              </w:rPr>
              <w:t>language acquisition</w:t>
            </w:r>
            <w:r>
              <w:rPr>
                <w:rFonts w:ascii="Arial" w:hAnsi="Arial"/>
                <w:sz w:val="20"/>
                <w:szCs w:val="20"/>
                <w:rtl w:val="0"/>
              </w:rPr>
              <w:t xml:space="preserve">) dan keterkaitannya dengan pembelajaran bahasa Inggris serta kontribusinya terhadap peningkatan kualitas pendidikan bahasa Inggris secara keseluruhan. Selain itu, mahasiswa juga diharapkan memiliki kemampuan untuk berpikir reflektif dan inovatif serta mampu menggagas pendekatan-pendekatan inovatif dalam pembelajaran bahasa Inggris sebagai bahasa asing di Indonesia, khususnya dalam konteks kelas yang (akan) menjadi tanggung jawab atau perhatian mereka </w:t>
            </w:r>
            <w:r>
              <w:rPr>
                <w:rFonts w:ascii="Arial" w:hAnsi="Arial"/>
                <w:sz w:val="20"/>
                <w:szCs w:val="20"/>
                <w:rtl w:val="0"/>
                <w:lang w:val="en-US"/>
              </w:rPr>
              <w:t>m</w:t>
            </w:r>
            <w:r>
              <w:rPr>
                <w:rFonts w:ascii="Arial" w:hAnsi="Arial"/>
                <w:sz w:val="20"/>
                <w:szCs w:val="20"/>
                <w:rtl w:val="0"/>
                <w:lang w:val="en-US"/>
              </w:rPr>
              <w:t xml:space="preserve">elalui pembelajaran berbasis PBL, SDL, SMART learning, WBT,  Case Study, </w:t>
            </w:r>
            <w:r>
              <w:rPr>
                <w:rFonts w:ascii="Arial" w:hAnsi="Arial"/>
                <w:sz w:val="20"/>
                <w:szCs w:val="20"/>
                <w:rtl w:val="0"/>
                <w:lang w:val="en-US"/>
              </w:rPr>
              <w:t xml:space="preserve">dan </w:t>
            </w:r>
            <w:r>
              <w:rPr>
                <w:rFonts w:ascii="Arial" w:hAnsi="Arial"/>
                <w:sz w:val="20"/>
                <w:szCs w:val="20"/>
                <w:rtl w:val="0"/>
                <w:lang w:val="en-US"/>
              </w:rPr>
              <w:t>Collaborative Learning,</w:t>
            </w:r>
          </w:p>
        </w:tc>
      </w:tr>
      <w:tr>
        <w:tblPrEx>
          <w:shd w:val="clear" w:color="auto" w:fill="d0ddef"/>
        </w:tblPrEx>
        <w:trPr>
          <w:trHeight w:val="1103"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Bahan Kajian/ Materi Pembelajaran</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 xml:space="preserve">Introduction to Language Acquisition </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Understanding Second Language Acquisition</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Maximizing Language Acquisition</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SLA in the Classroom: Towards an EFL Acquisition Theory</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Designing Environment for Effective FLA</w:t>
            </w:r>
          </w:p>
        </w:tc>
      </w:tr>
      <w:tr>
        <w:tblPrEx>
          <w:shd w:val="clear" w:color="auto" w:fill="d0ddef"/>
        </w:tblPrEx>
        <w:trPr>
          <w:trHeight w:val="22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Pustaka</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Utama :</w:t>
            </w:r>
          </w:p>
        </w:tc>
      </w:tr>
      <w:tr>
        <w:tblPrEx>
          <w:shd w:val="clear" w:color="auto" w:fill="d0ddef"/>
        </w:tblPrEx>
        <w:trPr>
          <w:trHeight w:val="11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Ellis, R. 1986.Understanding Second Language Acquisition. Oxford: Oxford University Press.</w:t>
            </w:r>
          </w:p>
          <w:p>
            <w:pPr>
              <w:pStyle w:val="Default"/>
              <w:numPr>
                <w:ilvl w:val="0"/>
                <w:numId w:val="2"/>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Krashen. S. D. 1981. Principles and Practice in Second Language Acquisition. New York: Pergamon Institute of English.</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Pendukung :</w:t>
            </w:r>
          </w:p>
        </w:tc>
      </w:tr>
      <w:tr>
        <w:tblPrEx>
          <w:shd w:val="clear" w:color="auto" w:fill="d0ddef"/>
        </w:tblPrEx>
        <w:trPr>
          <w:trHeight w:val="360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3"/>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Bradway, L., and Hill, B.A. 1993.How to Maximize Your Child</w:t>
            </w:r>
            <w:r>
              <w:rPr>
                <w:rFonts w:ascii="Arial" w:hAnsi="Arial" w:hint="default"/>
                <w:sz w:val="20"/>
                <w:szCs w:val="20"/>
                <w:rtl w:val="1"/>
              </w:rPr>
              <w:t>’</w:t>
            </w:r>
            <w:r>
              <w:rPr>
                <w:rFonts w:ascii="Arial" w:hAnsi="Arial"/>
                <w:sz w:val="20"/>
                <w:szCs w:val="20"/>
                <w:rtl w:val="0"/>
                <w:lang w:val="en-US"/>
              </w:rPr>
              <w:t xml:space="preserve">s Learning Ability. A Complete guide to choosing and using the best games, toys, activities, learning aids, and tactics for your child. New York: Avery Publishing Group Inc. </w:t>
            </w:r>
          </w:p>
          <w:p>
            <w:pPr>
              <w:pStyle w:val="Default"/>
              <w:numPr>
                <w:ilvl w:val="0"/>
                <w:numId w:val="3"/>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 xml:space="preserve">Gass. S. M., and Madden, C. G. (Eds.) 1985. Input in Second Language Acquisition. Massachusetts: Newbury House Publisher, Inc. </w:t>
            </w:r>
          </w:p>
          <w:p>
            <w:pPr>
              <w:pStyle w:val="Default"/>
              <w:numPr>
                <w:ilvl w:val="0"/>
                <w:numId w:val="3"/>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 xml:space="preserve">Herrel, A., and Jordan, M. 2004. Fifthly Strategies for Teaching English Language Learners. Columbus: Pearson Merril Prentice Hall. </w:t>
            </w:r>
          </w:p>
          <w:p>
            <w:pPr>
              <w:pStyle w:val="Default"/>
              <w:numPr>
                <w:ilvl w:val="0"/>
                <w:numId w:val="3"/>
              </w:numPr>
              <w:bidi w:val="0"/>
              <w:spacing w:before="0" w:after="240" w:line="240" w:lineRule="auto"/>
              <w:ind w:right="0"/>
              <w:jc w:val="left"/>
              <w:rPr>
                <w:rFonts w:ascii="Arial" w:hAnsi="Arial"/>
                <w:sz w:val="20"/>
                <w:szCs w:val="20"/>
                <w:rtl w:val="0"/>
                <w:lang w:val="en-US"/>
              </w:rPr>
            </w:pPr>
            <w:r>
              <w:rPr>
                <w:rFonts w:ascii="Arial" w:hAnsi="Arial"/>
                <w:sz w:val="20"/>
                <w:szCs w:val="20"/>
                <w:rtl w:val="0"/>
                <w:lang w:val="en-US"/>
              </w:rPr>
              <w:t>Johnson. K., and Marrow, K. 1981. Communication in the Classroom Application and Method for Communicative Approach. Essex: Longman.</w:t>
            </w:r>
          </w:p>
          <w:p>
            <w:pPr>
              <w:pStyle w:val="Default"/>
              <w:numPr>
                <w:ilvl w:val="0"/>
                <w:numId w:val="4"/>
              </w:numPr>
              <w:bidi w:val="0"/>
              <w:spacing w:before="0" w:after="240" w:line="240" w:lineRule="auto"/>
              <w:ind w:right="0"/>
              <w:jc w:val="left"/>
              <w:rPr>
                <w:rFonts w:ascii="Times Roman" w:hAnsi="Times Roman"/>
                <w:sz w:val="20"/>
                <w:szCs w:val="20"/>
                <w:rtl w:val="0"/>
                <w:lang w:val="en-US"/>
              </w:rPr>
            </w:pPr>
            <w:r>
              <w:rPr>
                <w:rFonts w:ascii="Arial" w:hAnsi="Arial"/>
                <w:sz w:val="20"/>
                <w:szCs w:val="20"/>
                <w:rtl w:val="0"/>
                <w:lang w:val="en-US"/>
              </w:rPr>
              <w:t xml:space="preserve">Nunan, D. (1989). Designing Tasks for the Communicative Classroom. Cambridge: CUP. Wolfson. N., and Judd, E. 1983. Sociolinguistics and Language Acquisition. Massachusetts: Newbury House Publishers. Inc. </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Dosen Pengampu</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i w:val="0"/>
                <w:iCs w:val="0"/>
                <w:outline w:val="0"/>
                <w:color w:val="000000"/>
                <w:sz w:val="20"/>
                <w:szCs w:val="20"/>
                <w:u w:color="000000"/>
                <w:shd w:val="nil" w:color="auto" w:fill="auto"/>
                <w:rtl w:val="0"/>
                <w:lang w:val="en-US"/>
                <w14:textFill>
                  <w14:solidFill>
                    <w14:srgbClr w14:val="000000"/>
                  </w14:solidFill>
                </w14:textFill>
              </w:rPr>
              <w:t>Asih Wahyuni, M.Pd.,</w:t>
            </w:r>
            <w:r>
              <w:rPr>
                <w:rFonts w:ascii="Arial" w:hAnsi="Arial" w:hint="default"/>
                <w:i w:val="0"/>
                <w:iCs w:val="0"/>
                <w:outline w:val="0"/>
                <w:color w:val="000000"/>
                <w:sz w:val="20"/>
                <w:szCs w:val="20"/>
                <w:u w:color="000000"/>
                <w:shd w:val="nil" w:color="auto" w:fill="auto"/>
                <w:rtl w:val="0"/>
                <w:lang w:val="en-US"/>
                <w14:textFill>
                  <w14:solidFill>
                    <w14:srgbClr w14:val="000000"/>
                  </w14:solidFill>
                </w14:textFill>
              </w:rPr>
              <w:t xml:space="preserve"> …</w:t>
            </w:r>
            <w:r>
              <w:rPr>
                <w:rFonts w:ascii="Arial" w:hAnsi="Arial"/>
                <w:i w:val="0"/>
                <w:iCs w:val="0"/>
                <w:outline w:val="0"/>
                <w:color w:val="000000"/>
                <w:sz w:val="20"/>
                <w:szCs w:val="20"/>
                <w:u w:color="000000"/>
                <w:shd w:val="nil" w:color="auto" w:fill="auto"/>
                <w:rtl w:val="0"/>
                <w:lang w:val="en-US"/>
                <w14:textFill>
                  <w14:solidFill>
                    <w14:srgbClr w14:val="000000"/>
                  </w14:solidFill>
                </w14:textFill>
              </w:rPr>
              <w:t>.</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Mata Kuliah Syarat</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sz w:val="20"/>
                <w:szCs w:val="20"/>
                <w:rtl w:val="0"/>
                <w:lang w:val="en-US"/>
              </w:rPr>
              <w:t>Linguistics, Semantics, SFL</w:t>
            </w:r>
          </w:p>
        </w:tc>
      </w:tr>
    </w:tbl>
    <w:p>
      <w:pPr>
        <w:pStyle w:val="Body"/>
        <w:widowControl w:val="0"/>
        <w:spacing w:line="240" w:lineRule="auto"/>
      </w:pPr>
    </w:p>
    <w:p>
      <w:pPr>
        <w:pStyle w:val="Body"/>
        <w:spacing w:after="0" w:line="276" w:lineRule="auto"/>
        <w:rPr>
          <w:rFonts w:ascii="Times New Roman" w:cs="Times New Roman" w:hAnsi="Times New Roman" w:eastAsia="Times New Roman"/>
          <w:sz w:val="24"/>
          <w:szCs w:val="24"/>
        </w:rPr>
      </w:pPr>
    </w:p>
    <w:tbl>
      <w:tblPr>
        <w:tblW w:w="934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24"/>
        <w:gridCol w:w="1896"/>
        <w:gridCol w:w="944"/>
        <w:gridCol w:w="944"/>
        <w:gridCol w:w="1319"/>
        <w:gridCol w:w="1134"/>
        <w:gridCol w:w="1265"/>
        <w:gridCol w:w="160"/>
        <w:gridCol w:w="863"/>
      </w:tblGrid>
      <w:tr>
        <w:tblPrEx>
          <w:shd w:val="clear" w:color="auto" w:fill="d0ddef"/>
        </w:tblPrEx>
        <w:trPr>
          <w:trHeight w:val="980" w:hRule="atLeast"/>
        </w:trPr>
        <w:tc>
          <w:tcPr>
            <w:tcW w:type="dxa" w:w="8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rFonts w:ascii="Arial" w:hAnsi="Arial"/>
                <w:b w:val="1"/>
                <w:bCs w:val="1"/>
                <w:sz w:val="20"/>
                <w:szCs w:val="20"/>
                <w:shd w:val="nil" w:color="auto" w:fill="auto"/>
                <w:rtl w:val="0"/>
                <w:lang w:val="en-US"/>
              </w:rPr>
              <w:t>Minggu ke-</w:t>
            </w:r>
          </w:p>
        </w:tc>
        <w:tc>
          <w:tcPr>
            <w:tcW w:type="dxa" w:w="18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Kemampuan akhir tiap tahapan belajar (Sub-CPMK)</w:t>
            </w:r>
          </w:p>
        </w:tc>
        <w:tc>
          <w:tcPr>
            <w:tcW w:type="dxa" w:w="18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Penilaian</w:t>
            </w:r>
          </w:p>
        </w:tc>
        <w:tc>
          <w:tcPr>
            <w:tcW w:type="dxa" w:w="2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Bentuk Pembelajaran, Metode Pembelajaran, Penugasan Mahasiswa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(Estimasi Waktu)</w:t>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Materi Pembelajaran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(Pustaka)</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Bobot Penilaian %</w:t>
            </w:r>
          </w:p>
        </w:tc>
      </w:tr>
      <w:tr>
        <w:tblPrEx>
          <w:shd w:val="clear" w:color="auto" w:fill="d0ddef"/>
        </w:tblPrEx>
        <w:trPr>
          <w:trHeight w:val="727" w:hRule="atLeast"/>
        </w:trPr>
        <w:tc>
          <w:tcPr>
            <w:tcW w:type="dxa" w:w="8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Indikator</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Kriteria&amp; bentuk</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Luring</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Daring</w:t>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84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1, 2</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menjelaskan Konsep</w:t>
            </w:r>
            <w:r>
              <w:rPr>
                <w:rFonts w:ascii="Arial" w:hAnsi="Arial"/>
                <w:sz w:val="20"/>
                <w:szCs w:val="20"/>
                <w:rtl w:val="0"/>
                <w:lang w:val="en-US"/>
              </w:rPr>
              <w:t xml:space="preserve"> mengenai </w:t>
            </w:r>
            <w:r>
              <w:rPr>
                <w:rFonts w:ascii="Arial" w:hAnsi="Arial"/>
                <w:i w:val="1"/>
                <w:iCs w:val="1"/>
                <w:sz w:val="20"/>
                <w:szCs w:val="20"/>
                <w:rtl w:val="0"/>
                <w:lang w:val="en-US"/>
              </w:rPr>
              <w:t>Principles in and Practices in Language Acquisition</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1)</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Mencari, memahami, dan merangkum tulisan dan secara praktis menyajikan tulisan mengenai</w:t>
            </w:r>
            <w:r>
              <w:rPr>
                <w:rFonts w:ascii="Arial" w:hAnsi="Arial"/>
                <w:sz w:val="20"/>
                <w:szCs w:val="20"/>
                <w:rtl w:val="0"/>
                <w:lang w:val="en-US"/>
              </w:rPr>
              <w:t xml:space="preserve"> </w:t>
            </w:r>
            <w:r>
              <w:rPr>
                <w:rFonts w:ascii="Arial" w:hAnsi="Arial"/>
                <w:i w:val="1"/>
                <w:iCs w:val="1"/>
                <w:sz w:val="20"/>
                <w:szCs w:val="20"/>
                <w:rtl w:val="0"/>
                <w:lang w:val="en-US"/>
              </w:rPr>
              <w:t>Principles in and Practices in Language Acquisition</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Tes lisan, lembar kerja keaktifan, sikap</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Case-study</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 xml:space="preserve">CL </w:t>
            </w:r>
          </w:p>
          <w:p>
            <w:pPr>
              <w:pStyle w:val="Body"/>
              <w:spacing w:after="0" w:line="240" w:lineRule="auto"/>
              <w:rPr>
                <w:rFonts w:ascii="Arial" w:cs="Arial" w:hAnsi="Arial" w:eastAsia="Arial"/>
                <w:sz w:val="20"/>
                <w:szCs w:val="20"/>
                <w:shd w:val="nil" w:color="auto" w:fill="auto"/>
                <w:lang w:val="en-US"/>
              </w:rPr>
            </w:pPr>
          </w:p>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Penugasan:</w:t>
            </w:r>
          </w:p>
          <w:p>
            <w:pPr>
              <w:pStyle w:val="Body"/>
              <w:spacing w:after="0" w:line="240" w:lineRule="auto"/>
              <w:rPr>
                <w:rFonts w:ascii="Arial" w:cs="Arial" w:hAnsi="Arial" w:eastAsia="Arial"/>
                <w:sz w:val="20"/>
                <w:szCs w:val="20"/>
                <w:lang w:val="en-US"/>
              </w:rPr>
            </w:pPr>
            <w:r>
              <w:rPr>
                <w:rFonts w:ascii="Arial" w:hAnsi="Arial"/>
                <w:sz w:val="20"/>
                <w:szCs w:val="20"/>
                <w:shd w:val="nil" w:color="auto" w:fill="auto"/>
                <w:rtl w:val="0"/>
                <w:lang w:val="en-US"/>
              </w:rPr>
              <w:t xml:space="preserve">Studi Pustaka terkait </w:t>
            </w:r>
            <w:r>
              <w:rPr>
                <w:rFonts w:ascii="Arial" w:hAnsi="Arial"/>
                <w:i w:val="1"/>
                <w:iCs w:val="1"/>
                <w:sz w:val="20"/>
                <w:szCs w:val="20"/>
                <w:rtl w:val="0"/>
                <w:lang w:val="en-US"/>
              </w:rPr>
              <w:t>Principles in and Practices in Language Acquisition</w:t>
            </w:r>
          </w:p>
          <w:p>
            <w:pPr>
              <w:pStyle w:val="Body"/>
              <w:spacing w:after="0" w:line="240" w:lineRule="auto"/>
              <w:rPr>
                <w:rFonts w:ascii="Arial" w:cs="Arial" w:hAnsi="Arial" w:eastAsia="Arial"/>
                <w:sz w:val="20"/>
                <w:szCs w:val="20"/>
                <w:lang w:val="en-US"/>
              </w:rPr>
            </w:pPr>
          </w:p>
          <w:p>
            <w:pPr>
              <w:pStyle w:val="Body"/>
              <w:spacing w:after="0" w:line="240" w:lineRule="auto"/>
            </w:pPr>
            <w:r>
              <w:rPr>
                <w:rFonts w:ascii="Arial" w:cs="Arial" w:hAnsi="Arial" w:eastAsia="Arial"/>
                <w:sz w:val="20"/>
                <w:szCs w:val="20"/>
                <w:shd w:val="nil" w:color="auto" w:fill="auto"/>
              </w:rPr>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rPr>
                <w:rFonts w:ascii="Arial" w:cs="Arial" w:hAnsi="Arial" w:eastAsia="Arial"/>
                <w:i w:val="1"/>
                <w:iCs w:val="1"/>
                <w:sz w:val="20"/>
                <w:szCs w:val="20"/>
              </w:rPr>
            </w:pPr>
            <w:r>
              <w:rPr>
                <w:rFonts w:ascii="Arial" w:hAnsi="Arial"/>
                <w:i w:val="1"/>
                <w:iCs w:val="1"/>
                <w:sz w:val="20"/>
                <w:szCs w:val="20"/>
                <w:rtl w:val="0"/>
                <w:lang w:val="en-US"/>
              </w:rPr>
              <w:t>Syllabus and Policy</w:t>
            </w:r>
          </w:p>
          <w:p>
            <w:pPr>
              <w:pStyle w:val="List Paragraph"/>
              <w:spacing w:after="0" w:line="240" w:lineRule="auto"/>
              <w:ind w:left="0" w:firstLine="0"/>
              <w:rPr>
                <w:rFonts w:ascii="Arial" w:cs="Arial" w:hAnsi="Arial" w:eastAsia="Arial"/>
                <w:sz w:val="20"/>
                <w:szCs w:val="20"/>
              </w:rPr>
            </w:pPr>
          </w:p>
          <w:p>
            <w:pPr>
              <w:pStyle w:val="Body"/>
              <w:spacing w:after="0" w:line="240" w:lineRule="auto"/>
            </w:pPr>
            <w:r>
              <w:rPr>
                <w:rFonts w:ascii="Arial" w:hAnsi="Arial"/>
                <w:i w:val="1"/>
                <w:iCs w:val="1"/>
                <w:sz w:val="20"/>
                <w:szCs w:val="20"/>
                <w:rtl w:val="0"/>
                <w:lang w:val="en-US"/>
              </w:rPr>
              <w:t>Principles in and Practices in Language Acquisition</w:t>
            </w:r>
            <w:r>
              <w:rPr>
                <w:rFonts w:ascii="Arial" w:cs="Arial" w:hAnsi="Arial" w:eastAsia="Arial"/>
                <w:sz w:val="20"/>
                <w:szCs w:val="20"/>
                <w:lang w:val="en-US"/>
              </w:rPr>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5</w:t>
            </w:r>
          </w:p>
        </w:tc>
      </w:tr>
      <w:tr>
        <w:tblPrEx>
          <w:shd w:val="clear" w:color="auto" w:fill="d0ddef"/>
        </w:tblPrEx>
        <w:trPr>
          <w:trHeight w:val="418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rtl w:val="0"/>
                <w:lang w:val="en-US"/>
              </w:rPr>
              <w:t>3, 4, 5</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 menjelaskan</w:t>
            </w:r>
            <w:r>
              <w:rPr>
                <w:rFonts w:ascii="Arial" w:hAnsi="Arial"/>
                <w:sz w:val="20"/>
                <w:szCs w:val="20"/>
                <w:shd w:val="nil" w:color="auto" w:fill="auto"/>
                <w:rtl w:val="0"/>
                <w:lang w:val="en-US"/>
              </w:rPr>
              <w:t xml:space="preserve"> </w:t>
            </w:r>
            <w:r>
              <w:rPr>
                <w:rFonts w:ascii="Arial" w:hAnsi="Arial"/>
                <w:sz w:val="20"/>
                <w:szCs w:val="20"/>
                <w:rtl w:val="0"/>
                <w:lang w:val="en-US"/>
              </w:rPr>
              <w:t xml:space="preserve">mengenai </w:t>
            </w:r>
            <w:r>
              <w:rPr>
                <w:rFonts w:ascii="Arial" w:hAnsi="Arial"/>
                <w:i w:val="1"/>
                <w:iCs w:val="1"/>
                <w:sz w:val="20"/>
                <w:szCs w:val="20"/>
                <w:rtl w:val="0"/>
                <w:lang w:val="en-US"/>
              </w:rPr>
              <w:t>Second Language Acquisition</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2</w:t>
            </w:r>
            <w:r>
              <w:rPr>
                <w:rFonts w:ascii="Arial" w:hAnsi="Arial"/>
                <w:b w:val="1"/>
                <w:bCs w:val="1"/>
                <w:sz w:val="20"/>
                <w:szCs w:val="20"/>
                <w:rtl w:val="0"/>
                <w:lang w:val="en-US"/>
              </w:rPr>
              <w:t>)</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Mencari, memahami, dan merangkum tulisan dan secara praktis menyajikan tulisan mengenai </w:t>
            </w:r>
            <w:r>
              <w:rPr>
                <w:rFonts w:ascii="Arial" w:hAnsi="Arial"/>
                <w:i w:val="1"/>
                <w:iCs w:val="1"/>
                <w:sz w:val="20"/>
                <w:szCs w:val="20"/>
                <w:rtl w:val="0"/>
                <w:lang w:val="en-US"/>
              </w:rPr>
              <w:t>Second Language Acquisition</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LKM</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riviu artikel</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PBL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shd w:val="nil" w:color="auto" w:fill="auto"/>
                <w:rtl w:val="0"/>
                <w:lang w:val="en-US"/>
              </w:rPr>
              <w:t>Penugasan:</w:t>
            </w:r>
          </w:p>
          <w:p>
            <w:pPr>
              <w:pStyle w:val="Body"/>
              <w:bidi w:val="0"/>
              <w:spacing w:after="0" w:line="240" w:lineRule="auto"/>
              <w:ind w:left="0" w:right="0" w:firstLine="0"/>
              <w:jc w:val="left"/>
              <w:rPr>
                <w:rFonts w:ascii="Arial" w:cs="Arial" w:hAnsi="Arial" w:eastAsia="Arial"/>
                <w:sz w:val="20"/>
                <w:szCs w:val="20"/>
                <w:rtl w:val="0"/>
              </w:rPr>
            </w:pPr>
            <w:r>
              <w:rPr>
                <w:rFonts w:ascii="Arial" w:hAnsi="Arial"/>
                <w:sz w:val="20"/>
                <w:szCs w:val="20"/>
                <w:rtl w:val="0"/>
                <w:lang w:val="en-US"/>
              </w:rPr>
              <w:t>lembar kerja</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 xml:space="preserve">Menyajikan tulisan ten </w:t>
            </w:r>
            <w:r>
              <w:rPr>
                <w:rFonts w:ascii="Arial" w:hAnsi="Arial"/>
                <w:i w:val="1"/>
                <w:iCs w:val="1"/>
                <w:sz w:val="20"/>
                <w:szCs w:val="20"/>
                <w:rtl w:val="0"/>
                <w:lang w:val="en-US"/>
              </w:rPr>
              <w:t>Second Language Acquisition</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i w:val="1"/>
                <w:iCs w:val="1"/>
                <w:sz w:val="20"/>
                <w:szCs w:val="20"/>
                <w:rtl w:val="0"/>
                <w:lang w:val="en-US"/>
              </w:rPr>
              <w:t xml:space="preserve">Understanding Language Acquisition </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w:t>
            </w:r>
            <w:r>
              <w:rPr>
                <w:rFonts w:ascii="Arial" w:hAnsi="Arial"/>
                <w:sz w:val="20"/>
                <w:szCs w:val="20"/>
                <w:shd w:val="nil" w:color="auto" w:fill="auto"/>
                <w:rtl w:val="0"/>
                <w:lang w:val="en-US"/>
              </w:rPr>
              <w:t>5</w:t>
            </w:r>
          </w:p>
        </w:tc>
      </w:tr>
      <w:tr>
        <w:tblPrEx>
          <w:shd w:val="clear" w:color="auto" w:fill="d0ddef"/>
        </w:tblPrEx>
        <w:trPr>
          <w:trHeight w:val="374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6</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en-US"/>
              </w:rPr>
              <w:t>7</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merumuskan</w:t>
            </w:r>
            <w:r>
              <w:rPr>
                <w:rFonts w:ascii="Arial" w:hAnsi="Arial"/>
                <w:sz w:val="20"/>
                <w:szCs w:val="20"/>
                <w:rtl w:val="0"/>
                <w:lang w:val="en-US"/>
              </w:rPr>
              <w:t xml:space="preserve"> </w:t>
            </w:r>
            <w:r>
              <w:rPr>
                <w:rFonts w:ascii="Arial" w:hAnsi="Arial"/>
                <w:i w:val="1"/>
                <w:iCs w:val="1"/>
                <w:sz w:val="20"/>
                <w:szCs w:val="20"/>
                <w:rtl w:val="0"/>
                <w:lang w:val="en-US"/>
              </w:rPr>
              <w:t>Factors contributive to Second Language Acquisition</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3</w:t>
            </w:r>
            <w:r>
              <w:rPr>
                <w:rFonts w:ascii="Arial" w:hAnsi="Arial"/>
                <w:b w:val="1"/>
                <w:bCs w:val="1"/>
                <w:sz w:val="20"/>
                <w:szCs w:val="20"/>
                <w:rtl w:val="0"/>
                <w:lang w:val="en-US"/>
              </w:rPr>
              <w:t>)</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Mencari, memahami, dan merangkum tulisan mengenai </w:t>
            </w:r>
            <w:r>
              <w:rPr>
                <w:rFonts w:ascii="Arial" w:hAnsi="Arial"/>
                <w:i w:val="1"/>
                <w:iCs w:val="1"/>
                <w:sz w:val="20"/>
                <w:szCs w:val="20"/>
                <w:rtl w:val="0"/>
                <w:lang w:val="en-US"/>
              </w:rPr>
              <w:t>Factors contributive to Second Language Acquisition</w:t>
            </w:r>
            <w:r>
              <w:rPr>
                <w:rFonts w:ascii="Arial" w:cs="Arial" w:hAnsi="Arial" w:eastAsia="Arial"/>
                <w:sz w:val="20"/>
                <w:szCs w:val="20"/>
                <w:lang w:val="en-US"/>
              </w:rPr>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LKM</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riviu artikel</w:t>
            </w:r>
            <w:r>
              <w:rPr>
                <w:rFonts w:ascii="Arial" w:cs="Arial" w:hAnsi="Arial" w:eastAsia="Arial"/>
                <w:sz w:val="20"/>
                <w:szCs w:val="20"/>
                <w:shd w:val="nil" w:color="auto" w:fill="auto"/>
              </w:rPr>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rtl w:val="0"/>
                <w:lang w:val="en-US"/>
              </w:rPr>
              <w:t>Model: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PBL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Fonts w:ascii="Arial" w:cs="Arial" w:hAnsi="Arial" w:eastAsia="Arial"/>
                <w:sz w:val="20"/>
                <w:szCs w:val="20"/>
                <w:rtl w:val="0"/>
              </w:rPr>
            </w:pPr>
            <w:r>
              <w:rPr>
                <w:rFonts w:ascii="Arial" w:hAnsi="Arial"/>
                <w:sz w:val="20"/>
                <w:szCs w:val="20"/>
                <w:shd w:val="nil" w:color="auto" w:fill="auto"/>
                <w:rtl w:val="0"/>
                <w:lang w:val="en-US"/>
              </w:rPr>
              <w:t>menyusun</w:t>
            </w:r>
            <w:r>
              <w:rPr>
                <w:rFonts w:ascii="Arial" w:hAnsi="Arial"/>
                <w:sz w:val="20"/>
                <w:szCs w:val="20"/>
                <w:shd w:val="nil" w:color="auto" w:fill="auto"/>
                <w:rtl w:val="0"/>
                <w:lang w:val="en-US"/>
              </w:rPr>
              <w:t xml:space="preserve"> </w:t>
            </w:r>
            <w:r>
              <w:rPr>
                <w:rFonts w:ascii="Arial" w:hAnsi="Arial"/>
                <w:sz w:val="20"/>
                <w:szCs w:val="20"/>
                <w:rtl w:val="0"/>
                <w:lang w:val="nl-NL"/>
              </w:rPr>
              <w:t xml:space="preserve">tulisan mengenai </w:t>
            </w:r>
            <w:r>
              <w:rPr>
                <w:rFonts w:ascii="Arial" w:hAnsi="Arial"/>
                <w:i w:val="1"/>
                <w:iCs w:val="1"/>
                <w:sz w:val="20"/>
                <w:szCs w:val="20"/>
                <w:rtl w:val="0"/>
                <w:lang w:val="en-US"/>
              </w:rPr>
              <w:t>Factors contributive to Second Language Acquisition</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 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0"/>
                <w:bCs w:val="0"/>
                <w:i w:val="1"/>
                <w:iCs w:val="1"/>
                <w:sz w:val="20"/>
                <w:szCs w:val="20"/>
                <w:rtl w:val="0"/>
                <w:lang w:val="en-US"/>
              </w:rPr>
              <w:t>Maximizing Language Acquisition</w:t>
            </w:r>
            <w:r>
              <w:rPr>
                <w:rFonts w:ascii="Arial" w:hAnsi="Arial"/>
                <w:b w:val="1"/>
                <w:bCs w:val="1"/>
                <w:sz w:val="20"/>
                <w:szCs w:val="20"/>
                <w:rtl w:val="0"/>
                <w:lang w:val="en-US"/>
              </w:rPr>
              <w:t xml:space="preserve"> </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w:t>
            </w:r>
            <w:r>
              <w:rPr>
                <w:rFonts w:ascii="Arial" w:hAnsi="Arial"/>
                <w:sz w:val="20"/>
                <w:szCs w:val="20"/>
                <w:shd w:val="nil" w:color="auto" w:fill="auto"/>
                <w:rtl w:val="0"/>
                <w:lang w:val="en-US"/>
              </w:rPr>
              <w:t>5</w:t>
            </w:r>
          </w:p>
        </w:tc>
      </w:tr>
      <w:tr>
        <w:tblPrEx>
          <w:shd w:val="clear" w:color="auto" w:fill="d0ddef"/>
        </w:tblPrEx>
        <w:trPr>
          <w:trHeight w:val="22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8</w:t>
            </w:r>
          </w:p>
        </w:tc>
        <w:tc>
          <w:tcPr>
            <w:tcW w:type="dxa" w:w="7661"/>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0"/>
                <w:szCs w:val="20"/>
                <w:shd w:val="nil" w:color="auto" w:fill="auto"/>
                <w:rtl w:val="0"/>
                <w:lang w:val="en-US"/>
              </w:rPr>
              <w:t>Evaluasi Tengah Semester / Ujian Tengah Semester [</w:t>
            </w:r>
            <w:r>
              <w:rPr>
                <w:rFonts w:ascii="Arial" w:hAnsi="Arial"/>
                <w:b w:val="1"/>
                <w:bCs w:val="1"/>
                <w:sz w:val="20"/>
                <w:szCs w:val="20"/>
                <w:shd w:val="nil" w:color="auto" w:fill="auto"/>
                <w:rtl w:val="0"/>
                <w:lang w:val="en-US"/>
              </w:rPr>
              <w:t>test</w:t>
            </w:r>
            <w:r>
              <w:rPr>
                <w:rFonts w:ascii="Arial" w:hAnsi="Arial"/>
                <w:b w:val="1"/>
                <w:bCs w:val="1"/>
                <w:sz w:val="20"/>
                <w:szCs w:val="20"/>
                <w:rtl w:val="0"/>
                <w:lang w:val="en-US"/>
              </w:rPr>
              <w:t>]</w:t>
            </w:r>
          </w:p>
        </w:tc>
        <w:tc>
          <w:tcPr>
            <w:tcW w:type="dxa" w:w="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4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9</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merumuskan</w:t>
            </w:r>
            <w:r>
              <w:rPr>
                <w:rFonts w:ascii="Arial" w:hAnsi="Arial"/>
                <w:sz w:val="20"/>
                <w:szCs w:val="20"/>
                <w:rtl w:val="0"/>
                <w:lang w:val="en-US"/>
              </w:rPr>
              <w:t xml:space="preserve"> </w:t>
            </w:r>
            <w:r>
              <w:rPr>
                <w:rFonts w:ascii="Arial" w:hAnsi="Arial"/>
                <w:i w:val="1"/>
                <w:iCs w:val="1"/>
                <w:sz w:val="20"/>
                <w:szCs w:val="20"/>
                <w:rtl w:val="0"/>
                <w:lang w:val="en-US"/>
              </w:rPr>
              <w:t>Factors contributive to Second Language Acquisition</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3</w:t>
            </w:r>
            <w:r>
              <w:rPr>
                <w:rFonts w:ascii="Arial" w:hAnsi="Arial"/>
                <w:b w:val="1"/>
                <w:bCs w:val="1"/>
                <w:sz w:val="20"/>
                <w:szCs w:val="20"/>
                <w:rtl w:val="0"/>
                <w:lang w:val="en-US"/>
              </w:rPr>
              <w:t>)</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Mencari, memahami, dan merangkum tulisan mengenai </w:t>
            </w:r>
            <w:r>
              <w:rPr>
                <w:rFonts w:ascii="Arial" w:hAnsi="Arial"/>
                <w:i w:val="1"/>
                <w:iCs w:val="1"/>
                <w:sz w:val="20"/>
                <w:szCs w:val="20"/>
                <w:rtl w:val="0"/>
                <w:lang w:val="en-US"/>
              </w:rPr>
              <w:t>Factors contributive to Second Language Acquisition</w:t>
            </w:r>
            <w:r>
              <w:rPr>
                <w:rFonts w:ascii="Arial" w:cs="Arial" w:hAnsi="Arial" w:eastAsia="Arial"/>
                <w:sz w:val="20"/>
                <w:szCs w:val="20"/>
                <w:lang w:val="en-US"/>
              </w:rPr>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Test lisan,</w:t>
            </w:r>
          </w:p>
          <w:p>
            <w:pPr>
              <w:pStyle w:val="Body"/>
              <w:bidi w:val="0"/>
              <w:spacing w:after="0" w:line="240" w:lineRule="auto"/>
              <w:ind w:left="0" w:right="0" w:firstLine="0"/>
              <w:jc w:val="left"/>
              <w:rPr>
                <w:rtl w:val="0"/>
              </w:rPr>
            </w:pPr>
            <w:r>
              <w:rPr>
                <w:rFonts w:ascii="Arial" w:hAnsi="Arial"/>
                <w:sz w:val="20"/>
                <w:szCs w:val="20"/>
                <w:rtl w:val="0"/>
                <w:lang w:val="en-US"/>
              </w:rPr>
              <w:t>LKM</w:t>
            </w:r>
            <w:r>
              <w:rPr>
                <w:rFonts w:ascii="Arial" w:cs="Arial" w:hAnsi="Arial" w:eastAsia="Arial"/>
                <w:sz w:val="20"/>
                <w:szCs w:val="20"/>
                <w:shd w:val="nil" w:color="auto" w:fill="auto"/>
                <w:lang w:val="en-US"/>
              </w:rPr>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rtl w:val="0"/>
                <w:lang w:val="en-US"/>
              </w:rPr>
              <w:t>Model: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Fonts w:ascii="Arial" w:cs="Arial" w:hAnsi="Arial" w:eastAsia="Arial"/>
                <w:sz w:val="20"/>
                <w:szCs w:val="20"/>
                <w:rtl w:val="0"/>
              </w:rPr>
            </w:pPr>
            <w:r>
              <w:rPr>
                <w:rFonts w:ascii="Arial" w:hAnsi="Arial"/>
                <w:sz w:val="20"/>
                <w:szCs w:val="20"/>
                <w:shd w:val="nil" w:color="auto" w:fill="auto"/>
                <w:rtl w:val="0"/>
                <w:lang w:val="en-US"/>
              </w:rPr>
              <w:t>meny</w:t>
            </w:r>
            <w:r>
              <w:rPr>
                <w:rFonts w:ascii="Arial" w:hAnsi="Arial"/>
                <w:sz w:val="20"/>
                <w:szCs w:val="20"/>
                <w:shd w:val="nil" w:color="auto" w:fill="auto"/>
                <w:rtl w:val="0"/>
                <w:lang w:val="en-US"/>
              </w:rPr>
              <w:t xml:space="preserve">ajikan </w:t>
            </w:r>
            <w:r>
              <w:rPr>
                <w:rFonts w:ascii="Arial" w:hAnsi="Arial"/>
                <w:sz w:val="20"/>
                <w:szCs w:val="20"/>
                <w:rtl w:val="0"/>
                <w:lang w:val="nl-NL"/>
              </w:rPr>
              <w:t xml:space="preserve">tulisan mengenai </w:t>
            </w:r>
            <w:r>
              <w:rPr>
                <w:rFonts w:ascii="Arial" w:hAnsi="Arial"/>
                <w:i w:val="1"/>
                <w:iCs w:val="1"/>
                <w:sz w:val="20"/>
                <w:szCs w:val="20"/>
                <w:rtl w:val="0"/>
                <w:lang w:val="en-US"/>
              </w:rPr>
              <w:t>Factors contributive to Second Language Acquisition</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 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0"/>
                <w:bCs w:val="0"/>
                <w:i w:val="1"/>
                <w:iCs w:val="1"/>
                <w:sz w:val="20"/>
                <w:szCs w:val="20"/>
                <w:rtl w:val="0"/>
                <w:lang w:val="en-US"/>
              </w:rPr>
              <w:t>Maximizing Language Acquisition</w:t>
            </w:r>
            <w:r>
              <w:rPr>
                <w:rFonts w:ascii="Arial" w:hAnsi="Arial"/>
                <w:b w:val="1"/>
                <w:bCs w:val="1"/>
                <w:sz w:val="20"/>
                <w:szCs w:val="20"/>
                <w:rtl w:val="0"/>
                <w:lang w:val="en-US"/>
              </w:rPr>
              <w:t xml:space="preserve"> </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5</w:t>
            </w:r>
          </w:p>
        </w:tc>
      </w:tr>
      <w:tr>
        <w:tblPrEx>
          <w:shd w:val="clear" w:color="auto" w:fill="d0ddef"/>
        </w:tblPrEx>
        <w:trPr>
          <w:trHeight w:val="418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10, 11</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 xml:space="preserve">mampu </w:t>
            </w:r>
            <w:r>
              <w:rPr>
                <w:rFonts w:ascii="Arial" w:hAnsi="Arial"/>
                <w:sz w:val="20"/>
                <w:szCs w:val="20"/>
                <w:rtl w:val="0"/>
                <w:lang w:val="en-US"/>
              </w:rPr>
              <w:t xml:space="preserve">merumuskan </w:t>
            </w:r>
            <w:r>
              <w:rPr>
                <w:rFonts w:ascii="Arial" w:hAnsi="Arial"/>
                <w:i w:val="1"/>
                <w:iCs w:val="1"/>
                <w:sz w:val="20"/>
                <w:szCs w:val="20"/>
                <w:rtl w:val="0"/>
                <w:lang w:val="en-US"/>
              </w:rPr>
              <w:t>Issues and Challenges in the Implementation of SLA in the Classrooms</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4)</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Mencari, memahami, dan merangkum tulisan mengenai </w:t>
            </w:r>
            <w:r>
              <w:rPr>
                <w:rFonts w:ascii="Arial" w:hAnsi="Arial"/>
                <w:i w:val="1"/>
                <w:iCs w:val="1"/>
                <w:sz w:val="20"/>
                <w:szCs w:val="20"/>
                <w:rtl w:val="0"/>
                <w:lang w:val="en-US"/>
              </w:rPr>
              <w:t>Issues and Challenges in the Implementation of SLA in the Classrooms</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riviu artikel</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LKM</w:t>
            </w:r>
            <w:r>
              <w:rPr>
                <w:rFonts w:ascii="Arial" w:cs="Arial" w:hAnsi="Arial" w:eastAsia="Arial"/>
                <w:sz w:val="20"/>
                <w:szCs w:val="20"/>
                <w:shd w:val="nil" w:color="auto" w:fill="auto"/>
              </w:rPr>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 xml:space="preserve">Small group discussion, </w:t>
            </w:r>
            <w:r>
              <w:rPr>
                <w:rFonts w:ascii="Arial" w:hAnsi="Arial"/>
                <w:sz w:val="20"/>
                <w:szCs w:val="20"/>
                <w:shd w:val="nil" w:color="auto" w:fill="auto"/>
                <w:rtl w:val="0"/>
                <w:lang w:val="en-US"/>
              </w:rPr>
              <w:t>Case-Study</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shd w:val="nil" w:color="auto" w:fill="auto"/>
                <w:rtl w:val="0"/>
                <w:lang w:val="en-US"/>
              </w:rPr>
              <w:t>meny</w:t>
            </w:r>
            <w:r>
              <w:rPr>
                <w:rFonts w:ascii="Arial" w:hAnsi="Arial"/>
                <w:sz w:val="20"/>
                <w:szCs w:val="20"/>
                <w:shd w:val="nil" w:color="auto" w:fill="auto"/>
                <w:rtl w:val="0"/>
                <w:lang w:val="en-US"/>
              </w:rPr>
              <w:t xml:space="preserve">ajikan </w:t>
            </w:r>
            <w:r>
              <w:rPr>
                <w:rFonts w:ascii="Arial" w:hAnsi="Arial"/>
                <w:sz w:val="20"/>
                <w:szCs w:val="20"/>
                <w:rtl w:val="0"/>
              </w:rPr>
              <w:t>tulisan mengenai</w:t>
            </w:r>
            <w:r>
              <w:rPr>
                <w:rFonts w:ascii="Arial" w:hAnsi="Arial"/>
                <w:sz w:val="20"/>
                <w:szCs w:val="20"/>
                <w:rtl w:val="0"/>
                <w:lang w:val="en-US"/>
              </w:rPr>
              <w:t xml:space="preserve"> </w:t>
            </w:r>
            <w:r>
              <w:rPr>
                <w:rFonts w:ascii="Arial" w:hAnsi="Arial"/>
                <w:i w:val="1"/>
                <w:iCs w:val="1"/>
                <w:sz w:val="20"/>
                <w:szCs w:val="20"/>
                <w:rtl w:val="0"/>
                <w:lang w:val="en-US"/>
              </w:rPr>
              <w:t>Issues and Challenges in the Implementation of SLA in the Classrooms</w:t>
            </w:r>
          </w:p>
          <w:p>
            <w:pPr>
              <w:pStyle w:val="Body"/>
              <w:bidi w:val="0"/>
              <w:spacing w:after="0" w:line="240" w:lineRule="auto"/>
              <w:ind w:left="0" w:right="0" w:firstLine="0"/>
              <w:jc w:val="left"/>
              <w:rPr>
                <w:rtl w:val="0"/>
              </w:rPr>
            </w:pPr>
            <w:r>
              <w:rPr>
                <w:rFonts w:ascii="Arial" w:cs="Arial" w:hAnsi="Arial" w:eastAsia="Arial"/>
                <w:sz w:val="20"/>
                <w:szCs w:val="20"/>
              </w:rPr>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LMS Unpak [https://lms.unpak.ac.id/] </w:t>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i w:val="1"/>
                <w:iCs w:val="1"/>
                <w:sz w:val="20"/>
                <w:szCs w:val="20"/>
                <w:shd w:val="nil" w:color="auto" w:fill="auto"/>
                <w:lang w:val="en-US"/>
              </w:rPr>
            </w:pPr>
            <w:r>
              <w:rPr>
                <w:rFonts w:ascii="Arial" w:hAnsi="Arial"/>
                <w:i w:val="1"/>
                <w:iCs w:val="1"/>
                <w:sz w:val="20"/>
                <w:szCs w:val="20"/>
                <w:rtl w:val="0"/>
                <w:lang w:val="en-US"/>
              </w:rPr>
              <w:t>Issues and Challenges in the Implementation of SLA in the Classrooms</w:t>
            </w:r>
          </w:p>
          <w:p>
            <w:pPr>
              <w:pStyle w:val="Body"/>
              <w:spacing w:after="0" w:line="240" w:lineRule="auto"/>
              <w:rPr>
                <w:rFonts w:ascii="Arial" w:cs="Arial" w:hAnsi="Arial" w:eastAsia="Arial"/>
                <w:sz w:val="20"/>
                <w:szCs w:val="20"/>
                <w:shd w:val="nil" w:color="auto" w:fill="auto"/>
              </w:rPr>
            </w:pPr>
          </w:p>
          <w:p>
            <w:pPr>
              <w:pStyle w:val="Body"/>
              <w:spacing w:after="0" w:line="240" w:lineRule="auto"/>
            </w:pPr>
            <w:r>
              <w:rPr>
                <w:rFonts w:ascii="Arial" w:cs="Arial" w:hAnsi="Arial" w:eastAsia="Arial"/>
                <w:sz w:val="20"/>
                <w:szCs w:val="20"/>
                <w:shd w:val="nil" w:color="auto" w:fill="auto"/>
                <w:lang w:val="en-US"/>
              </w:rPr>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462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w:t>
            </w:r>
            <w:r>
              <w:rPr>
                <w:rFonts w:ascii="Arial" w:hAnsi="Arial"/>
                <w:sz w:val="20"/>
                <w:szCs w:val="20"/>
                <w:shd w:val="nil" w:color="auto" w:fill="auto"/>
                <w:rtl w:val="0"/>
                <w:lang w:val="en-US"/>
              </w:rPr>
              <w:t>2, 13</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lang w:val="en-US"/>
              </w:rPr>
              <w:br w:type="textWrapping"/>
            </w:r>
            <w:r>
              <w:rPr>
                <w:rFonts w:ascii="Arial" w:hAnsi="Arial"/>
                <w:sz w:val="20"/>
                <w:szCs w:val="20"/>
                <w:rtl w:val="0"/>
                <w:lang w:val="en-US"/>
              </w:rPr>
              <w:t>mampu</w:t>
            </w:r>
            <w:r>
              <w:rPr>
                <w:rFonts w:ascii="Arial" w:hAnsi="Arial"/>
                <w:sz w:val="20"/>
                <w:szCs w:val="20"/>
                <w:rtl w:val="0"/>
                <w:lang w:val="en-US"/>
              </w:rPr>
              <w:t xml:space="preserve"> </w:t>
            </w:r>
            <w:r>
              <w:rPr>
                <w:rFonts w:ascii="Arial" w:hAnsi="Arial"/>
                <w:sz w:val="20"/>
                <w:szCs w:val="20"/>
                <w:rtl w:val="0"/>
                <w:lang w:val="en-US"/>
              </w:rPr>
              <w:t>memilih dan menetapkan</w:t>
            </w:r>
            <w:r>
              <w:rPr>
                <w:rFonts w:ascii="Arial" w:hAnsi="Arial"/>
                <w:sz w:val="20"/>
                <w:szCs w:val="20"/>
                <w:rtl w:val="0"/>
                <w:lang w:val="en-US"/>
              </w:rPr>
              <w:t xml:space="preserve">/ merancang </w:t>
            </w:r>
            <w:r>
              <w:rPr>
                <w:rFonts w:ascii="Arial" w:hAnsi="Arial"/>
                <w:i w:val="1"/>
                <w:iCs w:val="1"/>
                <w:sz w:val="20"/>
                <w:szCs w:val="20"/>
                <w:rtl w:val="0"/>
                <w:lang w:val="en-US"/>
              </w:rPr>
              <w:t>Design Environment for Effective FLA</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5)</w:t>
            </w:r>
            <w:r>
              <w:rPr>
                <w:rFonts w:ascii="Arial" w:cs="Arial" w:hAnsi="Arial" w:eastAsia="Arial"/>
                <w:b w:val="1"/>
                <w:bCs w:val="1"/>
                <w:sz w:val="20"/>
                <w:szCs w:val="20"/>
                <w:shd w:val="nil" w:color="auto" w:fill="auto"/>
                <w:lang w:val="en-US"/>
              </w:rPr>
              <w:br w:type="textWrapping"/>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Mencari, memahami, dan merangkum tulisan mengenai</w:t>
            </w:r>
            <w:r>
              <w:rPr>
                <w:rFonts w:ascii="Arial" w:hAnsi="Arial"/>
                <w:sz w:val="20"/>
                <w:szCs w:val="20"/>
                <w:rtl w:val="0"/>
                <w:lang w:val="en-US"/>
              </w:rPr>
              <w:t xml:space="preserve"> </w:t>
            </w:r>
            <w:r>
              <w:rPr>
                <w:rFonts w:ascii="Arial" w:hAnsi="Arial"/>
                <w:i w:val="1"/>
                <w:iCs w:val="1"/>
                <w:sz w:val="20"/>
                <w:szCs w:val="20"/>
                <w:rtl w:val="0"/>
                <w:lang w:val="en-US"/>
              </w:rPr>
              <w:t>Course Designing for LA-based TEFLIN: focusing on Comprehensible Input and Output</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R</w:t>
            </w:r>
            <w:r>
              <w:rPr>
                <w:rFonts w:ascii="Arial" w:hAnsi="Arial"/>
                <w:sz w:val="20"/>
                <w:szCs w:val="20"/>
                <w:shd w:val="nil" w:color="auto" w:fill="auto"/>
                <w:rtl w:val="0"/>
                <w:lang w:val="en-US"/>
              </w:rPr>
              <w:t>iviu</w:t>
            </w:r>
            <w:r>
              <w:rPr>
                <w:rFonts w:ascii="Arial" w:hAnsi="Arial"/>
                <w:sz w:val="20"/>
                <w:szCs w:val="20"/>
                <w:shd w:val="nil" w:color="auto" w:fill="auto"/>
                <w:rtl w:val="0"/>
                <w:lang w:val="en-US"/>
              </w:rPr>
              <w:t xml:space="preserve"> artikel</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Tes lisan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Portofolio</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 xml:space="preserve">Small group discussion, </w:t>
            </w:r>
            <w:r>
              <w:rPr>
                <w:rFonts w:ascii="Arial" w:hAnsi="Arial"/>
                <w:sz w:val="20"/>
                <w:szCs w:val="20"/>
                <w:shd w:val="nil" w:color="auto" w:fill="auto"/>
                <w:rtl w:val="0"/>
                <w:lang w:val="en-US"/>
              </w:rPr>
              <w:t>Case-Study</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w:t>
            </w:r>
            <w:r>
              <w:rPr>
                <w:rFonts w:ascii="Arial" w:hAnsi="Arial"/>
                <w:sz w:val="20"/>
                <w:szCs w:val="20"/>
                <w:shd w:val="nil" w:color="auto" w:fill="auto"/>
                <w:rtl w:val="0"/>
                <w:lang w:val="en-US"/>
              </w:rPr>
              <w:t xml:space="preserve">ajikan </w:t>
            </w:r>
            <w:r>
              <w:rPr>
                <w:rFonts w:ascii="Arial" w:hAnsi="Arial"/>
                <w:sz w:val="20"/>
                <w:szCs w:val="20"/>
                <w:rtl w:val="0"/>
              </w:rPr>
              <w:t>tulisan mengenai</w:t>
            </w:r>
            <w:r>
              <w:rPr>
                <w:rFonts w:ascii="Arial" w:hAnsi="Arial"/>
                <w:sz w:val="20"/>
                <w:szCs w:val="20"/>
                <w:rtl w:val="0"/>
                <w:lang w:val="en-US"/>
              </w:rPr>
              <w:t xml:space="preserve"> </w:t>
            </w:r>
            <w:r>
              <w:rPr>
                <w:rFonts w:ascii="Arial" w:hAnsi="Arial"/>
                <w:i w:val="1"/>
                <w:iCs w:val="1"/>
                <w:sz w:val="20"/>
                <w:szCs w:val="20"/>
                <w:rtl w:val="0"/>
                <w:lang w:val="en-US"/>
              </w:rPr>
              <w:t>Course Designing for LA-based TEFLIN: focusing on Comprehensible Input and Output</w:t>
            </w:r>
            <w:r>
              <w:rPr>
                <w:rFonts w:ascii="Arial" w:hAnsi="Arial"/>
                <w:i w:val="1"/>
                <w:iCs w:val="1"/>
                <w:sz w:val="20"/>
                <w:szCs w:val="20"/>
                <w:rtl w:val="0"/>
                <w:lang w:val="en-US"/>
              </w:rPr>
              <w:t xml:space="preserve"> (1) &amp; (2)</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i w:val="1"/>
                <w:iCs w:val="1"/>
                <w:sz w:val="20"/>
                <w:szCs w:val="20"/>
                <w:rtl w:val="0"/>
                <w:lang w:val="en-US"/>
              </w:rPr>
              <w:t>Course Designing for LA-based TEFLIN: focusing on Comprehensible Input and Output</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440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w:t>
            </w:r>
            <w:r>
              <w:rPr>
                <w:rFonts w:ascii="Arial" w:hAnsi="Arial"/>
                <w:sz w:val="20"/>
                <w:szCs w:val="20"/>
                <w:shd w:val="nil" w:color="auto" w:fill="auto"/>
                <w:rtl w:val="0"/>
                <w:lang w:val="en-US"/>
              </w:rPr>
              <w:t>4</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lang w:val="en-US"/>
              </w:rPr>
              <w:br w:type="textWrapping"/>
            </w:r>
            <w:r>
              <w:rPr>
                <w:rFonts w:ascii="Arial" w:hAnsi="Arial"/>
                <w:sz w:val="20"/>
                <w:szCs w:val="20"/>
                <w:rtl w:val="0"/>
                <w:lang w:val="en-US"/>
              </w:rPr>
              <w:t>mampu</w:t>
            </w:r>
            <w:r>
              <w:rPr>
                <w:rFonts w:ascii="Arial" w:hAnsi="Arial"/>
                <w:sz w:val="20"/>
                <w:szCs w:val="20"/>
                <w:rtl w:val="0"/>
                <w:lang w:val="en-US"/>
              </w:rPr>
              <w:t xml:space="preserve"> </w:t>
            </w:r>
            <w:r>
              <w:rPr>
                <w:rFonts w:ascii="Arial" w:hAnsi="Arial"/>
                <w:sz w:val="20"/>
                <w:szCs w:val="20"/>
                <w:rtl w:val="0"/>
                <w:lang w:val="en-US"/>
              </w:rPr>
              <w:t>memilih dan menetapkan</w:t>
            </w:r>
            <w:r>
              <w:rPr>
                <w:rFonts w:ascii="Arial" w:hAnsi="Arial"/>
                <w:sz w:val="20"/>
                <w:szCs w:val="20"/>
                <w:rtl w:val="0"/>
                <w:lang w:val="en-US"/>
              </w:rPr>
              <w:t xml:space="preserve">/ merancang </w:t>
            </w:r>
            <w:r>
              <w:rPr>
                <w:rFonts w:ascii="Arial" w:hAnsi="Arial"/>
                <w:i w:val="1"/>
                <w:iCs w:val="1"/>
                <w:sz w:val="20"/>
                <w:szCs w:val="20"/>
                <w:rtl w:val="0"/>
                <w:lang w:val="en-US"/>
              </w:rPr>
              <w:t>Design Environment for Effective FLA</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5)</w:t>
            </w:r>
            <w:r>
              <w:rPr>
                <w:rFonts w:ascii="Arial" w:cs="Arial" w:hAnsi="Arial" w:eastAsia="Arial"/>
                <w:b w:val="1"/>
                <w:bCs w:val="1"/>
                <w:sz w:val="20"/>
                <w:szCs w:val="20"/>
                <w:shd w:val="nil" w:color="auto" w:fill="auto"/>
                <w:lang w:val="en-US"/>
              </w:rPr>
              <w:br w:type="textWrapping"/>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Mencari, memahami, dan merangkum tulisan mengenai</w:t>
            </w:r>
            <w:r>
              <w:rPr>
                <w:rFonts w:ascii="Arial" w:hAnsi="Arial"/>
                <w:sz w:val="20"/>
                <w:szCs w:val="20"/>
                <w:rtl w:val="0"/>
                <w:lang w:val="en-US"/>
              </w:rPr>
              <w:t xml:space="preserve"> </w:t>
            </w:r>
            <w:r>
              <w:rPr>
                <w:rFonts w:ascii="Arial" w:hAnsi="Arial"/>
                <w:i w:val="1"/>
                <w:iCs w:val="1"/>
                <w:sz w:val="20"/>
                <w:szCs w:val="20"/>
                <w:rtl w:val="0"/>
                <w:lang w:val="en-US"/>
              </w:rPr>
              <w:t>Course Designing for LA-based TEFLIN: focusing on</w:t>
            </w:r>
            <w:r>
              <w:rPr>
                <w:rFonts w:ascii="Arial" w:hAnsi="Arial"/>
                <w:i w:val="1"/>
                <w:iCs w:val="1"/>
                <w:sz w:val="20"/>
                <w:szCs w:val="20"/>
                <w:rtl w:val="0"/>
                <w:lang w:val="en-US"/>
              </w:rPr>
              <w:t xml:space="preserve"> empowering Evaluation</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R</w:t>
            </w:r>
            <w:r>
              <w:rPr>
                <w:rFonts w:ascii="Arial" w:hAnsi="Arial"/>
                <w:sz w:val="20"/>
                <w:szCs w:val="20"/>
                <w:shd w:val="nil" w:color="auto" w:fill="auto"/>
                <w:rtl w:val="0"/>
                <w:lang w:val="en-US"/>
              </w:rPr>
              <w:t>iviu</w:t>
            </w:r>
            <w:r>
              <w:rPr>
                <w:rFonts w:ascii="Arial" w:hAnsi="Arial"/>
                <w:sz w:val="20"/>
                <w:szCs w:val="20"/>
                <w:shd w:val="nil" w:color="auto" w:fill="auto"/>
                <w:rtl w:val="0"/>
                <w:lang w:val="en-US"/>
              </w:rPr>
              <w:t xml:space="preserve"> artikel</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Tes lisan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Portofolio</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 xml:space="preserve">Small group discussion, </w:t>
            </w:r>
            <w:r>
              <w:rPr>
                <w:rFonts w:ascii="Arial" w:hAnsi="Arial"/>
                <w:sz w:val="20"/>
                <w:szCs w:val="20"/>
                <w:shd w:val="nil" w:color="auto" w:fill="auto"/>
                <w:rtl w:val="0"/>
                <w:lang w:val="en-US"/>
              </w:rPr>
              <w:t>Case-Study</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w:t>
            </w:r>
            <w:r>
              <w:rPr>
                <w:rFonts w:ascii="Arial" w:hAnsi="Arial"/>
                <w:sz w:val="20"/>
                <w:szCs w:val="20"/>
                <w:shd w:val="nil" w:color="auto" w:fill="auto"/>
                <w:rtl w:val="0"/>
                <w:lang w:val="en-US"/>
              </w:rPr>
              <w:t xml:space="preserve">ajikan </w:t>
            </w:r>
            <w:r>
              <w:rPr>
                <w:rFonts w:ascii="Arial" w:hAnsi="Arial"/>
                <w:sz w:val="20"/>
                <w:szCs w:val="20"/>
                <w:rtl w:val="0"/>
              </w:rPr>
              <w:t>tulisan mengenai</w:t>
            </w:r>
            <w:r>
              <w:rPr>
                <w:rFonts w:ascii="Arial" w:hAnsi="Arial"/>
                <w:sz w:val="20"/>
                <w:szCs w:val="20"/>
                <w:rtl w:val="0"/>
                <w:lang w:val="en-US"/>
              </w:rPr>
              <w:t xml:space="preserve"> </w:t>
            </w:r>
            <w:r>
              <w:rPr>
                <w:rFonts w:ascii="Arial" w:hAnsi="Arial"/>
                <w:i w:val="1"/>
                <w:iCs w:val="1"/>
                <w:sz w:val="20"/>
                <w:szCs w:val="20"/>
                <w:rtl w:val="0"/>
                <w:lang w:val="en-US"/>
              </w:rPr>
              <w:t>Course Designing for LA-based TEFLIN: focusing on</w:t>
            </w:r>
            <w:r>
              <w:rPr>
                <w:rFonts w:ascii="Arial" w:hAnsi="Arial"/>
                <w:i w:val="1"/>
                <w:iCs w:val="1"/>
                <w:sz w:val="20"/>
                <w:szCs w:val="20"/>
                <w:rtl w:val="0"/>
                <w:lang w:val="en-US"/>
              </w:rPr>
              <w:t xml:space="preserve"> empowering Evaluation</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i w:val="1"/>
                <w:iCs w:val="1"/>
                <w:sz w:val="20"/>
                <w:szCs w:val="20"/>
                <w:rtl w:val="0"/>
                <w:lang w:val="en-US"/>
              </w:rPr>
              <w:t>Course Designing for LA-based TEFLIN: focusing on</w:t>
            </w:r>
            <w:r>
              <w:rPr>
                <w:rFonts w:ascii="Arial" w:hAnsi="Arial"/>
                <w:i w:val="1"/>
                <w:iCs w:val="1"/>
                <w:sz w:val="20"/>
                <w:szCs w:val="20"/>
                <w:rtl w:val="0"/>
                <w:lang w:val="en-US"/>
              </w:rPr>
              <w:t xml:space="preserve"> Empowering Evaluation</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2643"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w:t>
            </w:r>
            <w:r>
              <w:rPr>
                <w:rFonts w:ascii="Arial" w:hAnsi="Arial"/>
                <w:sz w:val="20"/>
                <w:szCs w:val="20"/>
                <w:shd w:val="nil" w:color="auto" w:fill="auto"/>
                <w:rtl w:val="0"/>
                <w:lang w:val="en-US"/>
              </w:rPr>
              <w:t>5</w:t>
            </w:r>
          </w:p>
        </w:tc>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lang w:val="en-US"/>
              </w:rPr>
              <w:br w:type="textWrapping"/>
            </w:r>
            <w:r>
              <w:rPr>
                <w:rFonts w:ascii="Arial" w:hAnsi="Arial"/>
                <w:sz w:val="20"/>
                <w:szCs w:val="20"/>
                <w:rtl w:val="0"/>
                <w:lang w:val="en-US"/>
              </w:rPr>
              <w:t>mampu</w:t>
            </w:r>
            <w:r>
              <w:rPr>
                <w:rFonts w:ascii="Arial" w:hAnsi="Arial"/>
                <w:sz w:val="20"/>
                <w:szCs w:val="20"/>
                <w:rtl w:val="0"/>
                <w:lang w:val="en-US"/>
              </w:rPr>
              <w:t xml:space="preserve"> </w:t>
            </w:r>
            <w:r>
              <w:rPr>
                <w:rFonts w:ascii="Arial" w:hAnsi="Arial"/>
                <w:sz w:val="20"/>
                <w:szCs w:val="20"/>
                <w:rtl w:val="0"/>
                <w:lang w:val="en-US"/>
              </w:rPr>
              <w:t>memilih dan menetapkan</w:t>
            </w:r>
            <w:r>
              <w:rPr>
                <w:rFonts w:ascii="Arial" w:hAnsi="Arial"/>
                <w:sz w:val="20"/>
                <w:szCs w:val="20"/>
                <w:rtl w:val="0"/>
                <w:lang w:val="en-US"/>
              </w:rPr>
              <w:t xml:space="preserve">/ merancang </w:t>
            </w:r>
            <w:r>
              <w:rPr>
                <w:rFonts w:ascii="Arial" w:hAnsi="Arial"/>
                <w:i w:val="1"/>
                <w:iCs w:val="1"/>
                <w:sz w:val="20"/>
                <w:szCs w:val="20"/>
                <w:rtl w:val="0"/>
                <w:lang w:val="en-US"/>
              </w:rPr>
              <w:t>Design Environment for Effective FLA</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5)</w:t>
            </w:r>
            <w:r>
              <w:rPr>
                <w:rFonts w:ascii="Arial" w:cs="Arial" w:hAnsi="Arial" w:eastAsia="Arial"/>
                <w:b w:val="1"/>
                <w:bCs w:val="1"/>
                <w:sz w:val="20"/>
                <w:szCs w:val="20"/>
                <w:shd w:val="nil" w:color="auto" w:fill="auto"/>
                <w:lang w:val="en-US"/>
              </w:rPr>
              <w:br w:type="textWrapping"/>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Mencari, memahami, dan merangkum tulisan mengenai </w:t>
            </w:r>
            <w:r>
              <w:rPr>
                <w:rFonts w:ascii="Arial" w:hAnsi="Arial"/>
                <w:i w:val="1"/>
                <w:iCs w:val="1"/>
                <w:sz w:val="20"/>
                <w:szCs w:val="20"/>
                <w:rtl w:val="0"/>
                <w:lang w:val="en-US"/>
              </w:rPr>
              <w:t>Research in LA-based TEFLIN</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R</w:t>
            </w:r>
            <w:r>
              <w:rPr>
                <w:rFonts w:ascii="Arial" w:hAnsi="Arial"/>
                <w:sz w:val="20"/>
                <w:szCs w:val="20"/>
                <w:shd w:val="nil" w:color="auto" w:fill="auto"/>
                <w:rtl w:val="0"/>
                <w:lang w:val="en-US"/>
              </w:rPr>
              <w:t>iviu</w:t>
            </w:r>
            <w:r>
              <w:rPr>
                <w:rFonts w:ascii="Arial" w:hAnsi="Arial"/>
                <w:sz w:val="20"/>
                <w:szCs w:val="20"/>
                <w:shd w:val="nil" w:color="auto" w:fill="auto"/>
                <w:rtl w:val="0"/>
                <w:lang w:val="en-US"/>
              </w:rPr>
              <w:t xml:space="preserve"> artikel</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Tes lisan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Portofolio</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 xml:space="preserve">Small group discussion, </w:t>
            </w:r>
            <w:r>
              <w:rPr>
                <w:rFonts w:ascii="Arial" w:hAnsi="Arial"/>
                <w:sz w:val="20"/>
                <w:szCs w:val="20"/>
                <w:shd w:val="nil" w:color="auto" w:fill="auto"/>
                <w:rtl w:val="0"/>
                <w:lang w:val="en-US"/>
              </w:rPr>
              <w:t>Case-Study</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w:t>
            </w:r>
            <w:r>
              <w:rPr>
                <w:rFonts w:ascii="Arial" w:hAnsi="Arial"/>
                <w:sz w:val="20"/>
                <w:szCs w:val="20"/>
                <w:shd w:val="nil" w:color="auto" w:fill="auto"/>
                <w:rtl w:val="0"/>
                <w:lang w:val="en-US"/>
              </w:rPr>
              <w:t xml:space="preserve">ajikan </w:t>
            </w:r>
            <w:r>
              <w:rPr>
                <w:rFonts w:ascii="Arial" w:hAnsi="Arial"/>
                <w:sz w:val="20"/>
                <w:szCs w:val="20"/>
                <w:rtl w:val="0"/>
              </w:rPr>
              <w:t>tulisan mengenai</w:t>
            </w:r>
            <w:r>
              <w:rPr>
                <w:rFonts w:ascii="Arial" w:hAnsi="Arial"/>
                <w:sz w:val="20"/>
                <w:szCs w:val="20"/>
                <w:rtl w:val="0"/>
                <w:lang w:val="en-US"/>
              </w:rPr>
              <w:t xml:space="preserve"> </w:t>
            </w:r>
            <w:r>
              <w:rPr>
                <w:rFonts w:ascii="Arial" w:hAnsi="Arial"/>
                <w:i w:val="1"/>
                <w:iCs w:val="1"/>
                <w:sz w:val="20"/>
                <w:szCs w:val="20"/>
                <w:rtl w:val="0"/>
                <w:lang w:val="en-US"/>
              </w:rPr>
              <w:t>Research in LA-based TEFLIN</w:t>
            </w:r>
            <w:r>
              <w:rPr>
                <w:rFonts w:ascii="Arial" w:hAnsi="Arial"/>
                <w:sz w:val="20"/>
                <w:szCs w:val="20"/>
                <w:rtl w:val="0"/>
                <w:lang w:val="en-US"/>
              </w:rPr>
              <w:t xml:space="preserve"> </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i w:val="1"/>
                <w:iCs w:val="1"/>
                <w:sz w:val="20"/>
                <w:szCs w:val="20"/>
                <w:rtl w:val="0"/>
                <w:lang w:val="en-US"/>
              </w:rPr>
              <w:t>Research in LA-based TEFLIN</w:t>
            </w:r>
          </w:p>
        </w:tc>
        <w:tc>
          <w:tcPr>
            <w:tcW w:type="dxa" w:w="10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475" w:hRule="atLeast"/>
        </w:trPr>
        <w:tc>
          <w:tcPr>
            <w:tcW w:type="dxa" w:w="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16</w:t>
            </w:r>
          </w:p>
        </w:tc>
        <w:tc>
          <w:tcPr>
            <w:tcW w:type="dxa" w:w="7661"/>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Evaluasi Akhir Semester / Ujian Akhir Semester: e-portofolio</w:t>
            </w:r>
          </w:p>
        </w:tc>
        <w:tc>
          <w:tcPr>
            <w:tcW w:type="dxa" w:w="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Default"/>
        <w:bidi w:val="0"/>
        <w:spacing w:before="0" w:after="213" w:line="240" w:lineRule="auto"/>
        <w:ind w:left="0" w:right="0" w:firstLine="0"/>
        <w:jc w:val="left"/>
        <w:rPr>
          <w:rFonts w:ascii="Times Roman" w:cs="Times Roman" w:hAnsi="Times Roman" w:eastAsia="Times Roman"/>
          <w:b w:val="0"/>
          <w:bCs w:val="0"/>
          <w:sz w:val="24"/>
          <w:szCs w:val="24"/>
          <w:rtl w:val="0"/>
        </w:rPr>
      </w:pPr>
      <w:r>
        <w:rPr>
          <w:rFonts w:ascii="Times New Roman" w:hAnsi="Times New Roman"/>
          <w:b w:val="1"/>
          <w:bCs w:val="1"/>
          <w:rtl w:val="0"/>
        </w:rPr>
        <w:t xml:space="preserve">Rencana, Distribusi, dan Persentase Penilaian MK </w:t>
      </w:r>
      <w:r>
        <w:rPr>
          <w:rFonts w:ascii="Times New Roman" w:hAnsi="Times New Roman"/>
          <w:b w:val="1"/>
          <w:bCs w:val="1"/>
          <w:i w:val="1"/>
          <w:iCs w:val="1"/>
          <w:rtl w:val="0"/>
          <w:lang w:val="en-US"/>
        </w:rPr>
        <w:t>Second Language Acquisition</w:t>
      </w:r>
      <w:r>
        <w:rPr>
          <w:rFonts w:ascii="Times New Roman" w:hAnsi="Times New Roman"/>
          <w:b w:val="1"/>
          <w:bCs w:val="1"/>
          <w:rtl w:val="0"/>
          <w:lang w:val="en-US"/>
        </w:rPr>
        <w:t xml:space="preserve"> </w:t>
      </w:r>
    </w:p>
    <w:tbl>
      <w:tblPr>
        <w:tblW w:w="91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19"/>
        <w:gridCol w:w="640"/>
        <w:gridCol w:w="630"/>
        <w:gridCol w:w="579"/>
        <w:gridCol w:w="992"/>
        <w:gridCol w:w="1039"/>
        <w:gridCol w:w="771"/>
        <w:gridCol w:w="689"/>
        <w:gridCol w:w="994"/>
        <w:gridCol w:w="717"/>
        <w:gridCol w:w="1100"/>
      </w:tblGrid>
      <w:tr>
        <w:tblPrEx>
          <w:shd w:val="clear" w:color="auto" w:fill="d0ddef"/>
        </w:tblPrEx>
        <w:trPr>
          <w:trHeight w:val="733"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UTS</w:t>
            </w: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UAS</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Produk</w:t>
            </w: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Reflective Journal/laporan</w:t>
            </w: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lang w:val="it-IT"/>
                <w14:textOutline w14:w="12700" w14:cap="flat">
                  <w14:noFill/>
                  <w14:miter w14:lim="400000"/>
                </w14:textOutline>
                <w14:textFill>
                  <w14:solidFill>
                    <w14:srgbClr w14:val="000000"/>
                  </w14:solidFill>
                </w14:textFill>
              </w:rPr>
              <w:t>Presentasi/</w:t>
            </w:r>
          </w:p>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Unjuk Kinerja</w:t>
            </w: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LKM</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Tes lisan</w:t>
            </w: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Keaktifan</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Sikap</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1</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2</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12%</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3</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4%</w:t>
            </w: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13%</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4</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4%</w:t>
            </w: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22%</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5</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12%</w:t>
            </w: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20%</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43%</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4"/>
                <w:szCs w:val="14"/>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c>
          <w:tcPr>
            <w:tcW w:type="dxa" w:w="6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62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57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16%</w:t>
            </w:r>
          </w:p>
        </w:tc>
        <w:tc>
          <w:tcPr>
            <w:tcW w:type="dxa" w:w="10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9%</w:t>
            </w:r>
          </w:p>
        </w:tc>
        <w:tc>
          <w:tcPr>
            <w:tcW w:type="dxa" w:w="7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45%</w:t>
            </w:r>
          </w:p>
        </w:tc>
        <w:tc>
          <w:tcPr>
            <w:tcW w:type="dxa" w:w="68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71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1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100%</w:t>
            </w:r>
          </w:p>
        </w:tc>
      </w:tr>
    </w:tbl>
    <w:p>
      <w:pPr>
        <w:pStyle w:val="Default"/>
        <w:bidi w:val="0"/>
        <w:spacing w:before="0" w:line="240" w:lineRule="auto"/>
        <w:ind w:left="0" w:right="0" w:firstLine="0"/>
        <w:jc w:val="left"/>
        <w:rPr>
          <w:rFonts w:ascii="Times Roman" w:cs="Times Roman" w:hAnsi="Times Roman" w:eastAsia="Times Roman"/>
          <w:sz w:val="24"/>
          <w:szCs w:val="24"/>
          <w:rtl w:val="0"/>
        </w:rPr>
      </w:pPr>
    </w:p>
    <w:p>
      <w:pPr>
        <w:pStyle w:val="Default"/>
        <w:bidi w:val="0"/>
        <w:spacing w:before="0" w:line="240" w:lineRule="auto"/>
        <w:ind w:left="0" w:right="0" w:firstLine="0"/>
        <w:jc w:val="left"/>
        <w:rPr>
          <w:rtl w:val="0"/>
        </w:rPr>
      </w:pPr>
      <w:r>
        <w:rPr>
          <w:rFonts w:ascii="Times Roman" w:cs="Times Roman" w:hAnsi="Times Roman" w:eastAsia="Times Roman"/>
          <w:rtl w:val="0"/>
        </w:rPr>
      </w:r>
    </w:p>
    <w:sectPr>
      <w:headerReference w:type="default" r:id="rId5"/>
      <w:footerReference w:type="default" r:id="rId6"/>
      <w:pgSz w:w="12240" w:h="2016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Emoj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2"/>
    <w:lvlOverride w:ilvl="0">
      <w:lvl w:ilvl="0">
        <w:start w:val="1"/>
        <w:numFmt w:val="decimal"/>
        <w:suff w:val="tab"/>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